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4021F">
      <w:pPr>
        <w:pStyle w:val="pkt"/>
        <w:tabs>
          <w:tab w:val="left" w:pos="3614"/>
        </w:tabs>
        <w:spacing w:before="0" w:after="0" w:line="288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16662" w:rsidRPr="00B16662" w:rsidRDefault="00250B7F" w:rsidP="0014021F">
      <w:pPr>
        <w:pStyle w:val="tytu"/>
        <w:spacing w:before="0" w:after="0" w:line="288" w:lineRule="auto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14021F">
        <w:rPr>
          <w:rFonts w:ascii="Arial" w:hAnsi="Arial" w:cs="Arial"/>
          <w:bCs w:val="0"/>
          <w:sz w:val="22"/>
          <w:szCs w:val="22"/>
        </w:rPr>
        <w:t>Dostawy wierteł oraz narzędzi ślusarskich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14021F">
        <w:rPr>
          <w:rFonts w:ascii="Arial" w:hAnsi="Arial" w:cs="Arial"/>
          <w:sz w:val="20"/>
          <w:szCs w:val="20"/>
        </w:rPr>
        <w:t>113</w:t>
      </w:r>
      <w:r w:rsidR="00B16662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D379F7" w:rsidRPr="00DC5EC5">
        <w:rPr>
          <w:rFonts w:ascii="Arial" w:hAnsi="Arial" w:cs="Arial"/>
          <w:sz w:val="20"/>
          <w:szCs w:val="20"/>
          <w:lang w:val="en-US"/>
        </w:rPr>
        <w:t>12 44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B16662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B16662">
        <w:rPr>
          <w:rFonts w:ascii="Arial" w:hAnsi="Arial" w:cs="Arial"/>
          <w:sz w:val="20"/>
          <w:szCs w:val="20"/>
        </w:rPr>
        <w:t xml:space="preserve">Przedmiotem zamówienia są </w:t>
      </w:r>
      <w:r w:rsidR="0014021F">
        <w:rPr>
          <w:rFonts w:ascii="Arial" w:hAnsi="Arial" w:cs="Arial"/>
          <w:sz w:val="20"/>
          <w:szCs w:val="20"/>
        </w:rPr>
        <w:t xml:space="preserve">sukcesywne </w:t>
      </w:r>
      <w:r w:rsidR="0014021F" w:rsidRPr="006D51CB">
        <w:rPr>
          <w:rFonts w:ascii="Arial" w:hAnsi="Arial" w:cs="Arial"/>
          <w:sz w:val="20"/>
          <w:szCs w:val="20"/>
        </w:rPr>
        <w:t>dostawy</w:t>
      </w:r>
      <w:r w:rsidR="0014021F">
        <w:rPr>
          <w:rFonts w:ascii="Arial" w:hAnsi="Arial" w:cs="Arial"/>
          <w:sz w:val="20"/>
          <w:szCs w:val="20"/>
        </w:rPr>
        <w:t xml:space="preserve"> wierteł oraz narzędzi ślusarskich</w:t>
      </w:r>
      <w:r w:rsidRPr="00B16662">
        <w:rPr>
          <w:rFonts w:ascii="Arial" w:hAnsi="Arial" w:cs="Arial"/>
          <w:sz w:val="20"/>
          <w:szCs w:val="20"/>
        </w:rPr>
        <w:t xml:space="preserve">, w 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681B96" w:rsidRPr="00957623" w:rsidRDefault="00681B96" w:rsidP="0014021F">
      <w:pPr>
        <w:pStyle w:val="pkt"/>
        <w:widowControl w:val="0"/>
        <w:tabs>
          <w:tab w:val="left" w:pos="0"/>
        </w:tabs>
        <w:adjustRightInd w:val="0"/>
        <w:spacing w:before="0" w:after="0" w:line="288" w:lineRule="auto"/>
        <w:ind w:left="0" w:firstLine="0"/>
        <w:textAlignment w:val="baseline"/>
        <w:rPr>
          <w:rFonts w:ascii="Arial" w:hAnsi="Arial" w:cs="Arial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14021F" w:rsidRPr="00957623">
        <w:rPr>
          <w:rFonts w:ascii="Arial" w:hAnsi="Arial" w:cs="Arial"/>
          <w:sz w:val="20"/>
          <w:szCs w:val="20"/>
        </w:rPr>
        <w:t>Zamawiający dopuszcza możliwość składania ofert częściowych oddzielnie na zadania nr 1 –</w:t>
      </w:r>
      <w:r w:rsidR="0014021F">
        <w:rPr>
          <w:rFonts w:ascii="Arial" w:hAnsi="Arial" w:cs="Arial"/>
          <w:sz w:val="20"/>
          <w:szCs w:val="20"/>
        </w:rPr>
        <w:t xml:space="preserve"> 3</w:t>
      </w:r>
      <w:r w:rsidR="0014021F" w:rsidRPr="00957623">
        <w:rPr>
          <w:rFonts w:ascii="Arial" w:hAnsi="Arial" w:cs="Arial"/>
          <w:sz w:val="20"/>
          <w:szCs w:val="20"/>
        </w:rPr>
        <w:t xml:space="preserve"> zgodnie z podziałem określonym w SIWZ</w:t>
      </w:r>
      <w:r w:rsidR="0014021F">
        <w:rPr>
          <w:rFonts w:ascii="Arial" w:hAnsi="Arial" w:cs="Arial"/>
          <w:sz w:val="20"/>
          <w:szCs w:val="20"/>
        </w:rPr>
        <w:t>.</w:t>
      </w:r>
      <w:r w:rsidR="0014021F" w:rsidRPr="00957623">
        <w:rPr>
          <w:rFonts w:ascii="Arial" w:hAnsi="Arial" w:cs="Arial"/>
          <w:u w:val="single"/>
        </w:rPr>
        <w:t xml:space="preserve"> </w:t>
      </w: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957623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B16662">
        <w:rPr>
          <w:rFonts w:ascii="Arial" w:hAnsi="Arial" w:cs="Arial"/>
          <w:b/>
          <w:sz w:val="20"/>
          <w:szCs w:val="20"/>
        </w:rPr>
        <w:t>24</w:t>
      </w:r>
      <w:r w:rsidR="00B101C9">
        <w:rPr>
          <w:rFonts w:ascii="Arial" w:hAnsi="Arial" w:cs="Arial"/>
          <w:b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b/>
          <w:sz w:val="20"/>
          <w:szCs w:val="20"/>
        </w:rPr>
        <w:t>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1273C3" w:rsidRDefault="0095762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</w:t>
      </w:r>
      <w:r w:rsidR="001273C3" w:rsidRPr="002F7BDC">
        <w:rPr>
          <w:rFonts w:ascii="Arial" w:hAnsi="Arial" w:cs="Arial"/>
          <w:sz w:val="20"/>
          <w:szCs w:val="20"/>
        </w:rPr>
        <w:t>poszczególnych zleceń (dostaw):</w:t>
      </w:r>
      <w:r w:rsidR="001273C3"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="001273C3" w:rsidRPr="00B16662">
        <w:rPr>
          <w:rFonts w:ascii="Arial" w:hAnsi="Arial" w:cs="Arial"/>
          <w:b/>
          <w:sz w:val="20"/>
          <w:szCs w:val="20"/>
        </w:rPr>
        <w:t xml:space="preserve">do </w:t>
      </w:r>
      <w:r w:rsidR="0014021F">
        <w:rPr>
          <w:rFonts w:ascii="Arial" w:hAnsi="Arial" w:cs="Arial"/>
          <w:b/>
          <w:sz w:val="20"/>
          <w:szCs w:val="20"/>
        </w:rPr>
        <w:t xml:space="preserve">10 </w:t>
      </w:r>
      <w:r w:rsidR="001273C3" w:rsidRPr="00C66298">
        <w:rPr>
          <w:rFonts w:ascii="Arial" w:hAnsi="Arial" w:cs="Arial"/>
          <w:b/>
          <w:sz w:val="20"/>
          <w:szCs w:val="20"/>
        </w:rPr>
        <w:t>dni roboczych</w:t>
      </w:r>
      <w:r w:rsidR="001273C3">
        <w:rPr>
          <w:rFonts w:ascii="Arial" w:hAnsi="Arial" w:cs="Arial"/>
          <w:sz w:val="20"/>
          <w:szCs w:val="20"/>
        </w:rPr>
        <w:t xml:space="preserve"> od daty złożenia zlecenia </w:t>
      </w:r>
      <w:r w:rsidR="00B16662">
        <w:rPr>
          <w:rFonts w:ascii="Arial" w:hAnsi="Arial" w:cs="Arial"/>
          <w:sz w:val="20"/>
          <w:szCs w:val="20"/>
        </w:rPr>
        <w:br/>
      </w:r>
      <w:r w:rsidR="0014021F">
        <w:rPr>
          <w:rFonts w:ascii="Arial" w:hAnsi="Arial" w:cs="Arial"/>
          <w:sz w:val="20"/>
          <w:szCs w:val="20"/>
        </w:rPr>
        <w:t xml:space="preserve">telefonicznie, </w:t>
      </w:r>
      <w:r w:rsidR="0014021F" w:rsidRPr="002F7BDC">
        <w:rPr>
          <w:rFonts w:ascii="Arial" w:hAnsi="Arial" w:cs="Arial"/>
          <w:sz w:val="20"/>
          <w:szCs w:val="20"/>
        </w:rPr>
        <w:t>faksem lub e-mailem).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4021F">
      <w:pPr>
        <w:pStyle w:val="us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p w:rsidR="0014021F" w:rsidRDefault="0014021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88"/>
        <w:gridCol w:w="6391"/>
      </w:tblGrid>
      <w:tr w:rsidR="0014021F" w:rsidRPr="0014021F" w:rsidTr="0014021F">
        <w:trPr>
          <w:trHeight w:val="429"/>
          <w:jc w:val="center"/>
        </w:trPr>
        <w:tc>
          <w:tcPr>
            <w:tcW w:w="0" w:type="auto"/>
          </w:tcPr>
          <w:p w:rsidR="0014021F" w:rsidRPr="0014021F" w:rsidRDefault="0014021F" w:rsidP="0014021F">
            <w:pPr>
              <w:pStyle w:val="pkt"/>
              <w:spacing w:before="0" w:after="0" w:line="288" w:lineRule="auto"/>
              <w:ind w:hanging="726"/>
              <w:rPr>
                <w:rFonts w:ascii="Arial" w:hAnsi="Arial" w:cs="Arial"/>
                <w:b/>
                <w:sz w:val="20"/>
                <w:szCs w:val="20"/>
              </w:rPr>
            </w:pPr>
            <w:r w:rsidRPr="0014021F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391" w:type="dxa"/>
          </w:tcPr>
          <w:p w:rsidR="0014021F" w:rsidRPr="0014021F" w:rsidRDefault="0014021F" w:rsidP="0014021F">
            <w:pPr>
              <w:pStyle w:val="pkt"/>
              <w:spacing w:before="0" w:after="0" w:line="288" w:lineRule="auto"/>
              <w:ind w:left="0" w:hanging="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14021F">
              <w:rPr>
                <w:rFonts w:ascii="Arial" w:hAnsi="Arial" w:cs="Arial"/>
                <w:b/>
                <w:sz w:val="20"/>
                <w:szCs w:val="20"/>
              </w:rPr>
              <w:t>1 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21F">
              <w:rPr>
                <w:rFonts w:ascii="Arial" w:hAnsi="Arial" w:cs="Arial"/>
                <w:b/>
                <w:sz w:val="20"/>
                <w:szCs w:val="20"/>
              </w:rPr>
              <w:t>400,00 zł (słownie: tysiąc czterysta złotych 00/100)</w:t>
            </w:r>
          </w:p>
        </w:tc>
      </w:tr>
      <w:tr w:rsidR="0014021F" w:rsidRPr="0014021F" w:rsidTr="0014021F">
        <w:trPr>
          <w:trHeight w:val="409"/>
          <w:jc w:val="center"/>
        </w:trPr>
        <w:tc>
          <w:tcPr>
            <w:tcW w:w="0" w:type="auto"/>
          </w:tcPr>
          <w:p w:rsidR="0014021F" w:rsidRPr="0014021F" w:rsidRDefault="0014021F" w:rsidP="0014021F">
            <w:pPr>
              <w:pStyle w:val="pkt"/>
              <w:spacing w:before="0" w:after="0" w:line="288" w:lineRule="auto"/>
              <w:ind w:hanging="726"/>
              <w:rPr>
                <w:rFonts w:ascii="Arial" w:hAnsi="Arial" w:cs="Arial"/>
                <w:b/>
                <w:sz w:val="20"/>
                <w:szCs w:val="20"/>
              </w:rPr>
            </w:pPr>
            <w:r w:rsidRPr="0014021F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391" w:type="dxa"/>
          </w:tcPr>
          <w:p w:rsidR="0014021F" w:rsidRPr="0014021F" w:rsidRDefault="0014021F" w:rsidP="0014021F">
            <w:pPr>
              <w:pStyle w:val="pkt"/>
              <w:spacing w:before="0" w:after="0" w:line="288" w:lineRule="auto"/>
              <w:ind w:left="0" w:hanging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21F">
              <w:rPr>
                <w:rFonts w:ascii="Arial" w:hAnsi="Arial" w:cs="Arial"/>
                <w:b/>
                <w:sz w:val="20"/>
                <w:szCs w:val="20"/>
              </w:rPr>
              <w:t>680,00 zł (słownie: sześćset osiemdziesiąt złotych 00/100)</w:t>
            </w:r>
          </w:p>
        </w:tc>
      </w:tr>
      <w:tr w:rsidR="0014021F" w:rsidRPr="0014021F" w:rsidTr="0014021F">
        <w:trPr>
          <w:trHeight w:val="352"/>
          <w:jc w:val="center"/>
        </w:trPr>
        <w:tc>
          <w:tcPr>
            <w:tcW w:w="0" w:type="auto"/>
          </w:tcPr>
          <w:p w:rsidR="0014021F" w:rsidRPr="0014021F" w:rsidRDefault="0014021F" w:rsidP="0014021F">
            <w:pPr>
              <w:pStyle w:val="pkt"/>
              <w:spacing w:before="0" w:after="0" w:line="288" w:lineRule="auto"/>
              <w:ind w:hanging="726"/>
              <w:rPr>
                <w:rFonts w:ascii="Arial" w:hAnsi="Arial" w:cs="Arial"/>
                <w:b/>
                <w:sz w:val="20"/>
                <w:szCs w:val="20"/>
              </w:rPr>
            </w:pPr>
            <w:r w:rsidRPr="0014021F">
              <w:rPr>
                <w:rFonts w:ascii="Arial" w:hAnsi="Arial" w:cs="Arial"/>
                <w:b/>
                <w:sz w:val="20"/>
                <w:szCs w:val="20"/>
              </w:rPr>
              <w:t>dla Zadania nr 3</w:t>
            </w:r>
          </w:p>
        </w:tc>
        <w:tc>
          <w:tcPr>
            <w:tcW w:w="6391" w:type="dxa"/>
          </w:tcPr>
          <w:p w:rsidR="0014021F" w:rsidRPr="0014021F" w:rsidRDefault="0014021F" w:rsidP="0014021F">
            <w:pPr>
              <w:pStyle w:val="pkt"/>
              <w:spacing w:before="0" w:after="0" w:line="288" w:lineRule="auto"/>
              <w:ind w:left="0" w:hanging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21F">
              <w:rPr>
                <w:rFonts w:ascii="Arial" w:hAnsi="Arial" w:cs="Arial"/>
                <w:b/>
                <w:sz w:val="20"/>
                <w:szCs w:val="20"/>
              </w:rPr>
              <w:t>480,00 zł (słownie: czterysta osiemdziesiąt złotych 00/100)</w:t>
            </w:r>
          </w:p>
        </w:tc>
      </w:tr>
    </w:tbl>
    <w:p w:rsidR="0014021F" w:rsidRDefault="0014021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9A6319">
        <w:rPr>
          <w:rFonts w:ascii="Arial" w:hAnsi="Arial" w:cs="Arial"/>
          <w:b/>
          <w:sz w:val="20"/>
          <w:szCs w:val="20"/>
        </w:rPr>
        <w:t xml:space="preserve">- </w:t>
      </w:r>
      <w:r w:rsidR="009A6319"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14021F">
      <w:pPr>
        <w:pStyle w:val="Zwykytekst"/>
        <w:spacing w:line="288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14021F">
        <w:rPr>
          <w:rFonts w:ascii="Arial" w:hAnsi="Arial" w:cs="Arial"/>
          <w:b/>
        </w:rPr>
        <w:t>21.08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14021F">
        <w:rPr>
          <w:rFonts w:ascii="Arial" w:hAnsi="Arial" w:cs="Arial"/>
          <w:b/>
          <w:sz w:val="20"/>
          <w:szCs w:val="20"/>
        </w:rPr>
        <w:t>21.08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Zwykytekst"/>
        <w:spacing w:line="288" w:lineRule="auto"/>
        <w:rPr>
          <w:rFonts w:ascii="Arial" w:hAnsi="Arial" w:cs="Arial"/>
        </w:rPr>
      </w:pPr>
    </w:p>
    <w:p w:rsidR="00E277F6" w:rsidRPr="00957623" w:rsidRDefault="00E277F6" w:rsidP="0014021F">
      <w:pPr>
        <w:pStyle w:val="Zwykytekst"/>
        <w:spacing w:line="288" w:lineRule="auto"/>
        <w:rPr>
          <w:rFonts w:ascii="Arial" w:hAnsi="Arial" w:cs="Arial"/>
        </w:rPr>
      </w:pPr>
    </w:p>
    <w:p w:rsidR="001273C3" w:rsidRDefault="001273C3" w:rsidP="0014021F">
      <w:pPr>
        <w:pStyle w:val="Zwykytekst"/>
        <w:spacing w:line="288" w:lineRule="auto"/>
        <w:rPr>
          <w:rFonts w:ascii="Arial" w:hAnsi="Arial" w:cs="Arial"/>
        </w:rPr>
      </w:pPr>
    </w:p>
    <w:p w:rsidR="009B108A" w:rsidRPr="00957623" w:rsidRDefault="00A14881" w:rsidP="0014021F">
      <w:pPr>
        <w:pStyle w:val="Zwykytekst"/>
        <w:spacing w:line="288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637C3B">
        <w:rPr>
          <w:rFonts w:ascii="Arial" w:hAnsi="Arial" w:cs="Arial"/>
        </w:rPr>
        <w:t>07.08.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EE6745">
      <w:rPr>
        <w:rFonts w:ascii="Arial" w:hAnsi="Arial" w:cs="Arial"/>
        <w:sz w:val="16"/>
        <w:szCs w:val="16"/>
      </w:rPr>
      <w:t>113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37C3B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37C3B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2E2C5BB0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D085-73D2-4BB5-B2FF-930CB3ED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95</cp:revision>
  <cp:lastPrinted>2018-08-01T07:26:00Z</cp:lastPrinted>
  <dcterms:created xsi:type="dcterms:W3CDTF">2016-03-24T09:38:00Z</dcterms:created>
  <dcterms:modified xsi:type="dcterms:W3CDTF">2018-08-07T12:52:00Z</dcterms:modified>
</cp:coreProperties>
</file>