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CB5C" w14:textId="77777777" w:rsidR="001832D6" w:rsidRPr="0095353D" w:rsidRDefault="005C28DA" w:rsidP="00C56CD1">
      <w:pPr>
        <w:spacing w:after="0"/>
        <w:jc w:val="center"/>
        <w:rPr>
          <w:rFonts w:ascii="Arial" w:hAnsi="Arial" w:cs="Arial"/>
          <w:b/>
          <w:sz w:val="20"/>
          <w:szCs w:val="20"/>
        </w:rPr>
      </w:pPr>
      <w:r w:rsidRPr="0095353D">
        <w:rPr>
          <w:rFonts w:ascii="Arial" w:hAnsi="Arial" w:cs="Arial"/>
          <w:b/>
          <w:sz w:val="20"/>
          <w:szCs w:val="20"/>
        </w:rPr>
        <w:t>Wymagania techniczne i technologiczne</w:t>
      </w:r>
    </w:p>
    <w:p w14:paraId="20022728" w14:textId="77777777" w:rsidR="005C28DA" w:rsidRPr="0095353D" w:rsidRDefault="005C28DA" w:rsidP="00C56CD1">
      <w:pPr>
        <w:spacing w:after="0"/>
        <w:jc w:val="center"/>
        <w:rPr>
          <w:rFonts w:ascii="Arial" w:hAnsi="Arial" w:cs="Arial"/>
          <w:sz w:val="20"/>
          <w:szCs w:val="20"/>
        </w:rPr>
      </w:pPr>
    </w:p>
    <w:p w14:paraId="0DA4FC08" w14:textId="77777777" w:rsidR="005C4BA7" w:rsidRPr="0095353D" w:rsidRDefault="005C4BA7" w:rsidP="00C56CD1">
      <w:pPr>
        <w:pStyle w:val="Akapitzlist"/>
        <w:numPr>
          <w:ilvl w:val="0"/>
          <w:numId w:val="11"/>
        </w:numPr>
        <w:spacing w:after="0"/>
        <w:jc w:val="both"/>
        <w:rPr>
          <w:rFonts w:ascii="Arial" w:hAnsi="Arial" w:cs="Arial"/>
          <w:b/>
          <w:sz w:val="20"/>
          <w:szCs w:val="20"/>
        </w:rPr>
      </w:pPr>
      <w:r w:rsidRPr="0095353D">
        <w:rPr>
          <w:rFonts w:ascii="Arial" w:hAnsi="Arial" w:cs="Arial"/>
          <w:b/>
          <w:sz w:val="20"/>
          <w:szCs w:val="20"/>
        </w:rPr>
        <w:t>Przedmiot zamówienia obejmuje:</w:t>
      </w:r>
    </w:p>
    <w:p w14:paraId="0D6571DC" w14:textId="77777777" w:rsidR="00B76A2C" w:rsidRPr="0095353D" w:rsidRDefault="00B76A2C" w:rsidP="00C56CD1">
      <w:pPr>
        <w:pStyle w:val="Akapitzlist"/>
        <w:spacing w:after="0"/>
        <w:ind w:left="1080"/>
        <w:jc w:val="both"/>
        <w:rPr>
          <w:rFonts w:ascii="Arial" w:hAnsi="Arial" w:cs="Arial"/>
          <w:b/>
          <w:sz w:val="20"/>
          <w:szCs w:val="20"/>
        </w:rPr>
      </w:pPr>
    </w:p>
    <w:p w14:paraId="55B9A329" w14:textId="3CF093DB" w:rsidR="007261A2" w:rsidRPr="0095353D" w:rsidRDefault="002C51D8" w:rsidP="00C56CD1">
      <w:pPr>
        <w:pStyle w:val="Akapitzlist"/>
        <w:numPr>
          <w:ilvl w:val="0"/>
          <w:numId w:val="7"/>
        </w:numPr>
        <w:spacing w:after="0"/>
        <w:jc w:val="both"/>
        <w:rPr>
          <w:rFonts w:ascii="Arial" w:hAnsi="Arial" w:cs="Arial"/>
          <w:sz w:val="20"/>
          <w:szCs w:val="20"/>
        </w:rPr>
      </w:pPr>
      <w:r w:rsidRPr="0095353D">
        <w:rPr>
          <w:rFonts w:ascii="Arial" w:hAnsi="Arial" w:cs="Arial"/>
          <w:sz w:val="20"/>
          <w:szCs w:val="20"/>
        </w:rPr>
        <w:t>Zestawienie, uruchomienie i utrzymanie cyfrowych łączy dostępowych IP VPN, zakończonych odpowiednimi interfejsami we wskazanych lokalizacjach MPK</w:t>
      </w:r>
      <w:r w:rsidR="0095353D">
        <w:rPr>
          <w:rFonts w:ascii="Arial" w:hAnsi="Arial" w:cs="Arial"/>
          <w:sz w:val="20"/>
          <w:szCs w:val="20"/>
        </w:rPr>
        <w:t xml:space="preserve"> S.A. w Krakowie (dalej: MPK, Zamawiający)</w:t>
      </w:r>
      <w:r w:rsidR="00B942A1" w:rsidRPr="0095353D">
        <w:rPr>
          <w:rFonts w:ascii="Arial" w:hAnsi="Arial" w:cs="Arial"/>
          <w:sz w:val="20"/>
          <w:szCs w:val="20"/>
        </w:rPr>
        <w:t xml:space="preserve"> </w:t>
      </w:r>
      <w:r w:rsidR="0095353D">
        <w:rPr>
          <w:rFonts w:ascii="Arial" w:hAnsi="Arial" w:cs="Arial"/>
          <w:sz w:val="20"/>
          <w:szCs w:val="20"/>
        </w:rPr>
        <w:t>wraz z </w:t>
      </w:r>
      <w:r w:rsidR="00B942A1" w:rsidRPr="0095353D">
        <w:rPr>
          <w:rFonts w:ascii="Arial" w:hAnsi="Arial" w:cs="Arial"/>
          <w:sz w:val="20"/>
          <w:szCs w:val="20"/>
        </w:rPr>
        <w:t>udostępnieniem światłowodowej infrastruktury podkładowej</w:t>
      </w:r>
      <w:r w:rsidRPr="0095353D">
        <w:rPr>
          <w:rFonts w:ascii="Arial" w:hAnsi="Arial" w:cs="Arial"/>
          <w:sz w:val="20"/>
          <w:szCs w:val="20"/>
        </w:rPr>
        <w:t>.</w:t>
      </w:r>
    </w:p>
    <w:p w14:paraId="7D1ED095" w14:textId="0A3B3B29" w:rsidR="002C51D8" w:rsidRPr="0095353D" w:rsidRDefault="002C51D8" w:rsidP="00C56CD1">
      <w:pPr>
        <w:pStyle w:val="Akapitzlist"/>
        <w:numPr>
          <w:ilvl w:val="0"/>
          <w:numId w:val="7"/>
        </w:numPr>
        <w:spacing w:after="0"/>
        <w:jc w:val="both"/>
        <w:rPr>
          <w:rFonts w:ascii="Arial" w:hAnsi="Arial" w:cs="Arial"/>
          <w:sz w:val="20"/>
          <w:szCs w:val="20"/>
        </w:rPr>
      </w:pPr>
      <w:r w:rsidRPr="0095353D">
        <w:rPr>
          <w:rFonts w:ascii="Arial" w:hAnsi="Arial" w:cs="Arial"/>
          <w:sz w:val="20"/>
          <w:szCs w:val="20"/>
        </w:rPr>
        <w:t xml:space="preserve">Umożliwienie Zamawiającemu z jego siedziby (Kraków, ul. Brożka 3) dostępu do </w:t>
      </w:r>
      <w:r w:rsidR="0095353D">
        <w:rPr>
          <w:rFonts w:ascii="Arial" w:hAnsi="Arial" w:cs="Arial"/>
          <w:sz w:val="20"/>
          <w:szCs w:val="20"/>
        </w:rPr>
        <w:t>Systemu M</w:t>
      </w:r>
      <w:r w:rsidRPr="0095353D">
        <w:rPr>
          <w:rFonts w:ascii="Arial" w:hAnsi="Arial" w:cs="Arial"/>
          <w:sz w:val="20"/>
          <w:szCs w:val="20"/>
        </w:rPr>
        <w:t xml:space="preserve">onitorowania i weryfikacji </w:t>
      </w:r>
      <w:r w:rsidRPr="00C56CD1">
        <w:rPr>
          <w:rFonts w:ascii="Arial" w:hAnsi="Arial" w:cs="Arial"/>
          <w:sz w:val="20"/>
          <w:szCs w:val="20"/>
        </w:rPr>
        <w:t>świadczenia Usługi</w:t>
      </w:r>
      <w:r w:rsidR="00C56CD1" w:rsidRPr="00C56CD1">
        <w:rPr>
          <w:rFonts w:ascii="Arial" w:hAnsi="Arial" w:cs="Arial"/>
          <w:sz w:val="20"/>
          <w:szCs w:val="20"/>
        </w:rPr>
        <w:t xml:space="preserve"> transmisji danych (dalej: Usługa)</w:t>
      </w:r>
      <w:r w:rsidRPr="00C56CD1">
        <w:rPr>
          <w:rFonts w:ascii="Arial" w:hAnsi="Arial" w:cs="Arial"/>
          <w:sz w:val="20"/>
          <w:szCs w:val="20"/>
        </w:rPr>
        <w:t>,</w:t>
      </w:r>
      <w:r w:rsidRPr="0095353D">
        <w:rPr>
          <w:rFonts w:ascii="Arial" w:hAnsi="Arial" w:cs="Arial"/>
          <w:sz w:val="20"/>
          <w:szCs w:val="20"/>
        </w:rPr>
        <w:t xml:space="preserve"> zapewniającego co najmniej:</w:t>
      </w:r>
    </w:p>
    <w:p w14:paraId="2234D619" w14:textId="6D5A54AD" w:rsidR="002C51D8" w:rsidRPr="0095353D" w:rsidRDefault="002C51D8" w:rsidP="00C56CD1">
      <w:pPr>
        <w:pStyle w:val="Akapitzlist"/>
        <w:numPr>
          <w:ilvl w:val="0"/>
          <w:numId w:val="8"/>
        </w:numPr>
        <w:spacing w:after="0"/>
        <w:jc w:val="both"/>
        <w:rPr>
          <w:rFonts w:ascii="Arial" w:hAnsi="Arial" w:cs="Arial"/>
          <w:sz w:val="20"/>
          <w:szCs w:val="20"/>
        </w:rPr>
      </w:pPr>
      <w:r w:rsidRPr="0095353D">
        <w:rPr>
          <w:rFonts w:ascii="Arial" w:hAnsi="Arial" w:cs="Arial"/>
          <w:sz w:val="20"/>
          <w:szCs w:val="20"/>
        </w:rPr>
        <w:t>Powiadamianie o sytuacjach krytycznych w interwałach co najwyżej pięciominutowych, poprzez wyświetlenie informacji o stanie urządzeń dostępowych</w:t>
      </w:r>
      <w:r w:rsidR="0095353D">
        <w:rPr>
          <w:rFonts w:ascii="Arial" w:hAnsi="Arial" w:cs="Arial"/>
          <w:sz w:val="20"/>
          <w:szCs w:val="20"/>
        </w:rPr>
        <w:t>.</w:t>
      </w:r>
    </w:p>
    <w:p w14:paraId="60063B32" w14:textId="09963E04" w:rsidR="002C51D8" w:rsidRPr="0095353D" w:rsidRDefault="002C51D8" w:rsidP="00C56CD1">
      <w:pPr>
        <w:pStyle w:val="Akapitzlist"/>
        <w:numPr>
          <w:ilvl w:val="0"/>
          <w:numId w:val="8"/>
        </w:numPr>
        <w:spacing w:after="0"/>
        <w:jc w:val="both"/>
        <w:rPr>
          <w:rFonts w:ascii="Arial" w:hAnsi="Arial" w:cs="Arial"/>
          <w:sz w:val="20"/>
          <w:szCs w:val="20"/>
        </w:rPr>
      </w:pPr>
      <w:r w:rsidRPr="0095353D">
        <w:rPr>
          <w:rFonts w:ascii="Arial" w:hAnsi="Arial" w:cs="Arial"/>
          <w:sz w:val="20"/>
          <w:szCs w:val="20"/>
        </w:rPr>
        <w:t>Ciągłe monitorowanie parametrów SLA oraz obciążen</w:t>
      </w:r>
      <w:r w:rsidR="0095353D">
        <w:rPr>
          <w:rFonts w:ascii="Arial" w:hAnsi="Arial" w:cs="Arial"/>
          <w:sz w:val="20"/>
          <w:szCs w:val="20"/>
        </w:rPr>
        <w:t>ia wszystkich łączy (włącznie z </w:t>
      </w:r>
      <w:r w:rsidRPr="0095353D">
        <w:rPr>
          <w:rFonts w:ascii="Arial" w:hAnsi="Arial" w:cs="Arial"/>
          <w:sz w:val="20"/>
          <w:szCs w:val="20"/>
        </w:rPr>
        <w:t>historią z całego okresu świadczenia Usługi), obejmujące co najmniej możliwość monitorowania dostępności łącza w skali miesiąca oraz przedstawienie statystyki wykorzystania łącz.</w:t>
      </w:r>
    </w:p>
    <w:p w14:paraId="6A19DD41" w14:textId="05D7DBED" w:rsidR="002C51D8" w:rsidRPr="0095353D" w:rsidRDefault="002C51D8" w:rsidP="00C56CD1">
      <w:pPr>
        <w:pStyle w:val="Akapitzlist"/>
        <w:numPr>
          <w:ilvl w:val="0"/>
          <w:numId w:val="8"/>
        </w:numPr>
        <w:spacing w:after="0"/>
        <w:jc w:val="both"/>
        <w:rPr>
          <w:rFonts w:ascii="Arial" w:hAnsi="Arial" w:cs="Arial"/>
          <w:sz w:val="20"/>
          <w:szCs w:val="20"/>
        </w:rPr>
      </w:pPr>
      <w:r w:rsidRPr="0095353D">
        <w:rPr>
          <w:rFonts w:ascii="Arial" w:hAnsi="Arial" w:cs="Arial"/>
          <w:sz w:val="20"/>
          <w:szCs w:val="20"/>
        </w:rPr>
        <w:t>Możliwość generowania co najmniej miesięcznych i rocznych raportów z parametrów wymienionych w punkcie b) w postaci tekstowej lub graficznej</w:t>
      </w:r>
      <w:r w:rsidR="0095353D">
        <w:rPr>
          <w:rFonts w:ascii="Arial" w:hAnsi="Arial" w:cs="Arial"/>
          <w:sz w:val="20"/>
          <w:szCs w:val="20"/>
        </w:rPr>
        <w:t>.</w:t>
      </w:r>
    </w:p>
    <w:p w14:paraId="7D49FC9F" w14:textId="2B78135E" w:rsidR="002C51D8" w:rsidRPr="0095353D" w:rsidRDefault="002C51D8" w:rsidP="00C56CD1">
      <w:pPr>
        <w:pStyle w:val="Akapitzlist"/>
        <w:numPr>
          <w:ilvl w:val="0"/>
          <w:numId w:val="8"/>
        </w:numPr>
        <w:spacing w:after="0"/>
        <w:jc w:val="both"/>
        <w:rPr>
          <w:rFonts w:ascii="Arial" w:hAnsi="Arial" w:cs="Arial"/>
          <w:sz w:val="20"/>
          <w:szCs w:val="20"/>
        </w:rPr>
      </w:pPr>
      <w:r w:rsidRPr="0095353D">
        <w:rPr>
          <w:rFonts w:ascii="Arial" w:hAnsi="Arial" w:cs="Arial"/>
          <w:sz w:val="20"/>
          <w:szCs w:val="20"/>
        </w:rPr>
        <w:t>Wykreowanie przez Wykonawcę co najmniej 3 kont dostępu do Systemu Monitorowania do swobodnej dyspozycji Zamawiającego oraz udostępnienie ich do używania przez Zamawiającego.</w:t>
      </w:r>
    </w:p>
    <w:p w14:paraId="1A6D6330" w14:textId="5C20A4E5" w:rsidR="002C51D8" w:rsidRPr="0095353D" w:rsidRDefault="002C51D8" w:rsidP="00C56CD1">
      <w:pPr>
        <w:pStyle w:val="Akapitzlist"/>
        <w:numPr>
          <w:ilvl w:val="0"/>
          <w:numId w:val="7"/>
        </w:numPr>
        <w:spacing w:after="0"/>
        <w:jc w:val="both"/>
        <w:rPr>
          <w:rFonts w:ascii="Arial" w:hAnsi="Arial" w:cs="Arial"/>
          <w:sz w:val="20"/>
          <w:szCs w:val="20"/>
        </w:rPr>
      </w:pPr>
      <w:r w:rsidRPr="0095353D">
        <w:rPr>
          <w:rFonts w:ascii="Arial" w:hAnsi="Arial" w:cs="Arial"/>
          <w:sz w:val="20"/>
          <w:szCs w:val="20"/>
        </w:rPr>
        <w:t>Wykonanie i dostarczenie dla Zamawiającego dokumentacji powykonawczej przyłączenia lokalizacji MPK do sieci IP VPN</w:t>
      </w:r>
      <w:r w:rsidR="00193F18" w:rsidRPr="0095353D">
        <w:rPr>
          <w:rFonts w:ascii="Arial" w:hAnsi="Arial" w:cs="Arial"/>
          <w:sz w:val="20"/>
          <w:szCs w:val="20"/>
        </w:rPr>
        <w:t xml:space="preserve"> (dostarczenie najpóźniej wraz z protokołem </w:t>
      </w:r>
      <w:r w:rsidR="00C00F47" w:rsidRPr="0095353D">
        <w:rPr>
          <w:rFonts w:ascii="Arial" w:hAnsi="Arial" w:cs="Arial"/>
          <w:sz w:val="20"/>
          <w:szCs w:val="20"/>
        </w:rPr>
        <w:t>przekazania</w:t>
      </w:r>
      <w:r w:rsidR="00193F18" w:rsidRPr="0095353D">
        <w:rPr>
          <w:rFonts w:ascii="Arial" w:hAnsi="Arial" w:cs="Arial"/>
          <w:sz w:val="20"/>
          <w:szCs w:val="20"/>
        </w:rPr>
        <w:t>)</w:t>
      </w:r>
      <w:r w:rsidRPr="0095353D">
        <w:rPr>
          <w:rFonts w:ascii="Arial" w:hAnsi="Arial" w:cs="Arial"/>
          <w:sz w:val="20"/>
          <w:szCs w:val="20"/>
        </w:rPr>
        <w:t>, zawierającej co najmniej:</w:t>
      </w:r>
    </w:p>
    <w:p w14:paraId="7182F2FD" w14:textId="698524B5" w:rsidR="002C51D8" w:rsidRPr="0095353D" w:rsidRDefault="002C51D8" w:rsidP="00C56CD1">
      <w:pPr>
        <w:pStyle w:val="Akapitzlist"/>
        <w:numPr>
          <w:ilvl w:val="0"/>
          <w:numId w:val="10"/>
        </w:numPr>
        <w:spacing w:after="0"/>
        <w:jc w:val="both"/>
        <w:rPr>
          <w:rFonts w:ascii="Arial" w:hAnsi="Arial" w:cs="Arial"/>
          <w:sz w:val="20"/>
          <w:szCs w:val="20"/>
        </w:rPr>
      </w:pPr>
      <w:r w:rsidRPr="0095353D">
        <w:rPr>
          <w:rFonts w:ascii="Arial" w:hAnsi="Arial" w:cs="Arial"/>
          <w:sz w:val="20"/>
          <w:szCs w:val="20"/>
        </w:rPr>
        <w:t>Wykaz zrealizowanych w ramach zamówienia łączy teleinformatycznych wraz z ich opisem co najmniej w zakresie parametrów określonych w niniejszej specyfikacji</w:t>
      </w:r>
      <w:r w:rsidR="0095353D">
        <w:rPr>
          <w:rFonts w:ascii="Arial" w:hAnsi="Arial" w:cs="Arial"/>
          <w:sz w:val="20"/>
          <w:szCs w:val="20"/>
        </w:rPr>
        <w:t>.</w:t>
      </w:r>
    </w:p>
    <w:p w14:paraId="47B0C9D9" w14:textId="44E7266D" w:rsidR="002C51D8" w:rsidRPr="0095353D" w:rsidRDefault="002C51D8" w:rsidP="00C56CD1">
      <w:pPr>
        <w:pStyle w:val="Akapitzlist"/>
        <w:numPr>
          <w:ilvl w:val="0"/>
          <w:numId w:val="10"/>
        </w:numPr>
        <w:spacing w:after="0"/>
        <w:jc w:val="both"/>
        <w:rPr>
          <w:rFonts w:ascii="Arial" w:hAnsi="Arial" w:cs="Arial"/>
          <w:sz w:val="20"/>
          <w:szCs w:val="20"/>
        </w:rPr>
      </w:pPr>
      <w:r w:rsidRPr="0095353D">
        <w:rPr>
          <w:rFonts w:ascii="Arial" w:hAnsi="Arial" w:cs="Arial"/>
          <w:sz w:val="20"/>
          <w:szCs w:val="20"/>
        </w:rPr>
        <w:t>Informacje na temat uruchomionych na urządzeniach dostępowych funkcjonalności dotyczących bezpieczeństwa</w:t>
      </w:r>
      <w:r w:rsidR="0095353D">
        <w:rPr>
          <w:rFonts w:ascii="Arial" w:hAnsi="Arial" w:cs="Arial"/>
          <w:sz w:val="20"/>
          <w:szCs w:val="20"/>
        </w:rPr>
        <w:t>.</w:t>
      </w:r>
    </w:p>
    <w:p w14:paraId="643C6013" w14:textId="3BD93EC9" w:rsidR="002C51D8" w:rsidRPr="0095353D" w:rsidRDefault="002C51D8" w:rsidP="00C56CD1">
      <w:pPr>
        <w:pStyle w:val="Akapitzlist"/>
        <w:numPr>
          <w:ilvl w:val="0"/>
          <w:numId w:val="10"/>
        </w:numPr>
        <w:spacing w:after="0"/>
        <w:jc w:val="both"/>
        <w:rPr>
          <w:rFonts w:ascii="Arial" w:hAnsi="Arial" w:cs="Arial"/>
          <w:sz w:val="20"/>
          <w:szCs w:val="20"/>
        </w:rPr>
      </w:pPr>
      <w:r w:rsidRPr="0095353D">
        <w:rPr>
          <w:rFonts w:ascii="Arial" w:hAnsi="Arial" w:cs="Arial"/>
          <w:sz w:val="20"/>
          <w:szCs w:val="20"/>
        </w:rPr>
        <w:t>Opis zastosowanych technologii i protokołów telekomunikacyjnych wykorzystywanych do świadczenia usług transmisji danych w sieci Wykonawcy</w:t>
      </w:r>
      <w:r w:rsidR="0095353D">
        <w:rPr>
          <w:rFonts w:ascii="Arial" w:hAnsi="Arial" w:cs="Arial"/>
          <w:sz w:val="20"/>
          <w:szCs w:val="20"/>
        </w:rPr>
        <w:t>.</w:t>
      </w:r>
    </w:p>
    <w:p w14:paraId="7B3E955C" w14:textId="1913720D" w:rsidR="002C51D8" w:rsidRPr="0095353D" w:rsidRDefault="002C51D8" w:rsidP="00C56CD1">
      <w:pPr>
        <w:pStyle w:val="Akapitzlist"/>
        <w:numPr>
          <w:ilvl w:val="0"/>
          <w:numId w:val="10"/>
        </w:numPr>
        <w:spacing w:after="0"/>
        <w:jc w:val="both"/>
        <w:rPr>
          <w:rFonts w:ascii="Arial" w:hAnsi="Arial" w:cs="Arial"/>
          <w:sz w:val="20"/>
          <w:szCs w:val="20"/>
        </w:rPr>
      </w:pPr>
      <w:r w:rsidRPr="0095353D">
        <w:rPr>
          <w:rFonts w:ascii="Arial" w:hAnsi="Arial" w:cs="Arial"/>
          <w:sz w:val="20"/>
          <w:szCs w:val="20"/>
        </w:rPr>
        <w:t>Opis sposobu zarządzania jakością usług QoS</w:t>
      </w:r>
      <w:r w:rsidR="0095353D">
        <w:rPr>
          <w:rFonts w:ascii="Arial" w:hAnsi="Arial" w:cs="Arial"/>
          <w:sz w:val="20"/>
          <w:szCs w:val="20"/>
        </w:rPr>
        <w:t>.</w:t>
      </w:r>
    </w:p>
    <w:p w14:paraId="2AF4F02C" w14:textId="2A5FE263" w:rsidR="002C51D8" w:rsidRPr="0095353D" w:rsidRDefault="002C51D8" w:rsidP="00C56CD1">
      <w:pPr>
        <w:pStyle w:val="Akapitzlist"/>
        <w:numPr>
          <w:ilvl w:val="0"/>
          <w:numId w:val="10"/>
        </w:numPr>
        <w:spacing w:after="0"/>
        <w:jc w:val="both"/>
        <w:rPr>
          <w:rFonts w:ascii="Arial" w:hAnsi="Arial" w:cs="Arial"/>
          <w:sz w:val="20"/>
          <w:szCs w:val="20"/>
        </w:rPr>
      </w:pPr>
      <w:r w:rsidRPr="0095353D">
        <w:rPr>
          <w:rFonts w:ascii="Arial" w:hAnsi="Arial" w:cs="Arial"/>
          <w:sz w:val="20"/>
          <w:szCs w:val="20"/>
        </w:rPr>
        <w:t>Opis funkcjonowania i użytkowania Systemu Monitorowania</w:t>
      </w:r>
      <w:r w:rsidR="0095353D">
        <w:rPr>
          <w:rFonts w:ascii="Arial" w:hAnsi="Arial" w:cs="Arial"/>
          <w:sz w:val="20"/>
          <w:szCs w:val="20"/>
        </w:rPr>
        <w:t>.</w:t>
      </w:r>
    </w:p>
    <w:p w14:paraId="11AE844E" w14:textId="4C90E227" w:rsidR="002C51D8" w:rsidRPr="0095353D" w:rsidRDefault="002C51D8" w:rsidP="00C56CD1">
      <w:pPr>
        <w:pStyle w:val="Akapitzlist"/>
        <w:numPr>
          <w:ilvl w:val="0"/>
          <w:numId w:val="10"/>
        </w:numPr>
        <w:spacing w:after="0"/>
        <w:jc w:val="both"/>
        <w:rPr>
          <w:rFonts w:ascii="Arial" w:hAnsi="Arial" w:cs="Arial"/>
          <w:sz w:val="20"/>
          <w:szCs w:val="20"/>
        </w:rPr>
      </w:pPr>
      <w:r w:rsidRPr="0095353D">
        <w:rPr>
          <w:rFonts w:ascii="Arial" w:hAnsi="Arial" w:cs="Arial"/>
          <w:sz w:val="20"/>
          <w:szCs w:val="20"/>
        </w:rPr>
        <w:t>Kopie protokołów odbioru zestawionych łącz teleinformatycznych</w:t>
      </w:r>
      <w:r w:rsidR="0095353D">
        <w:rPr>
          <w:rFonts w:ascii="Arial" w:hAnsi="Arial" w:cs="Arial"/>
          <w:sz w:val="20"/>
          <w:szCs w:val="20"/>
        </w:rPr>
        <w:t>.</w:t>
      </w:r>
    </w:p>
    <w:p w14:paraId="6F166047" w14:textId="52DE7675" w:rsidR="002C51D8" w:rsidRPr="0095353D" w:rsidRDefault="002C51D8" w:rsidP="00C56CD1">
      <w:pPr>
        <w:pStyle w:val="Akapitzlist"/>
        <w:numPr>
          <w:ilvl w:val="0"/>
          <w:numId w:val="7"/>
        </w:numPr>
        <w:spacing w:after="0"/>
        <w:jc w:val="both"/>
        <w:rPr>
          <w:rFonts w:ascii="Arial" w:hAnsi="Arial" w:cs="Arial"/>
          <w:sz w:val="20"/>
          <w:szCs w:val="20"/>
        </w:rPr>
      </w:pPr>
      <w:r w:rsidRPr="0095353D">
        <w:rPr>
          <w:rFonts w:ascii="Arial" w:hAnsi="Arial" w:cs="Arial"/>
          <w:sz w:val="20"/>
          <w:szCs w:val="20"/>
        </w:rPr>
        <w:t>Zapewnienie minimum trzech klas ruchu (QoS)</w:t>
      </w:r>
      <w:r w:rsidR="00BA00A1">
        <w:rPr>
          <w:rFonts w:ascii="Arial" w:hAnsi="Arial" w:cs="Arial"/>
          <w:sz w:val="20"/>
          <w:szCs w:val="20"/>
        </w:rPr>
        <w:t>.</w:t>
      </w:r>
    </w:p>
    <w:p w14:paraId="4878699F" w14:textId="1B862095" w:rsidR="002C51D8" w:rsidRPr="0095353D" w:rsidRDefault="002C51D8" w:rsidP="00C56CD1">
      <w:pPr>
        <w:pStyle w:val="Akapitzlist"/>
        <w:numPr>
          <w:ilvl w:val="0"/>
          <w:numId w:val="7"/>
        </w:numPr>
        <w:spacing w:after="0"/>
        <w:jc w:val="both"/>
        <w:rPr>
          <w:rFonts w:ascii="Arial" w:hAnsi="Arial" w:cs="Arial"/>
          <w:sz w:val="20"/>
          <w:szCs w:val="20"/>
        </w:rPr>
      </w:pPr>
      <w:r w:rsidRPr="0095353D">
        <w:rPr>
          <w:rFonts w:ascii="Arial" w:hAnsi="Arial" w:cs="Arial"/>
          <w:sz w:val="20"/>
          <w:szCs w:val="20"/>
        </w:rPr>
        <w:t>Wykonywanie i dostarczanie dla Zamawiającego miesięcznych raportów świadczenia Usługi uwzględniających wszystkie awarie i odstępstwa od poziomu świadczenia Usługi zagwarantowanego parametrami SLA, z podaniem lokalizacji, dat ich wystąpienia, czasu niedostępności, zdarzeń powodujących ich wystąpienie i okoliczności mających wpływ na te parametry za każdy miesiąc kalendarzowy, od dnia rozpoczęcia świadczenia Usługi.</w:t>
      </w:r>
    </w:p>
    <w:p w14:paraId="4E78CCE8" w14:textId="77777777" w:rsidR="005C4BA7" w:rsidRPr="0095353D" w:rsidRDefault="005C4BA7" w:rsidP="00C56CD1">
      <w:pPr>
        <w:spacing w:after="0"/>
        <w:jc w:val="both"/>
        <w:rPr>
          <w:rFonts w:ascii="Arial" w:hAnsi="Arial" w:cs="Arial"/>
          <w:sz w:val="20"/>
          <w:szCs w:val="20"/>
        </w:rPr>
      </w:pPr>
    </w:p>
    <w:p w14:paraId="0B59B973" w14:textId="77777777" w:rsidR="005C4BA7" w:rsidRPr="0095353D" w:rsidRDefault="005C4BA7" w:rsidP="00C56CD1">
      <w:pPr>
        <w:pStyle w:val="Akapitzlist"/>
        <w:numPr>
          <w:ilvl w:val="0"/>
          <w:numId w:val="11"/>
        </w:numPr>
        <w:spacing w:after="0"/>
        <w:jc w:val="both"/>
        <w:rPr>
          <w:rFonts w:ascii="Arial" w:hAnsi="Arial" w:cs="Arial"/>
          <w:b/>
          <w:sz w:val="20"/>
          <w:szCs w:val="20"/>
        </w:rPr>
      </w:pPr>
      <w:r w:rsidRPr="0095353D">
        <w:rPr>
          <w:rFonts w:ascii="Arial" w:hAnsi="Arial" w:cs="Arial"/>
          <w:b/>
          <w:sz w:val="20"/>
          <w:szCs w:val="20"/>
        </w:rPr>
        <w:t>Wymagania dotyczące przedmiotu Zamówienia:</w:t>
      </w:r>
    </w:p>
    <w:p w14:paraId="0C2C2A1A" w14:textId="77777777" w:rsidR="00B76A2C" w:rsidRPr="0095353D" w:rsidRDefault="00B76A2C" w:rsidP="00C56CD1">
      <w:pPr>
        <w:pStyle w:val="Akapitzlist"/>
        <w:spacing w:after="0"/>
        <w:ind w:left="1080"/>
        <w:jc w:val="both"/>
        <w:rPr>
          <w:rFonts w:ascii="Arial" w:hAnsi="Arial" w:cs="Arial"/>
          <w:b/>
          <w:sz w:val="20"/>
          <w:szCs w:val="20"/>
        </w:rPr>
      </w:pPr>
    </w:p>
    <w:p w14:paraId="7A4F786D" w14:textId="4FDAAF98" w:rsidR="007261A2" w:rsidRPr="0095353D" w:rsidRDefault="007261A2" w:rsidP="00C56CD1">
      <w:pPr>
        <w:spacing w:after="0"/>
        <w:jc w:val="both"/>
        <w:rPr>
          <w:rFonts w:ascii="Arial" w:hAnsi="Arial" w:cs="Arial"/>
          <w:sz w:val="20"/>
          <w:szCs w:val="20"/>
        </w:rPr>
      </w:pPr>
    </w:p>
    <w:p w14:paraId="1557D933" w14:textId="48E7A91C" w:rsidR="002C51D8" w:rsidRPr="0095353D" w:rsidRDefault="002C51D8"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Zamawiający nie dopuszcza realizacji łącz dostępowych w postaci:</w:t>
      </w:r>
    </w:p>
    <w:p w14:paraId="66344461" w14:textId="77777777" w:rsidR="002C51D8" w:rsidRPr="0095353D" w:rsidRDefault="002C51D8" w:rsidP="00C56CD1">
      <w:pPr>
        <w:pStyle w:val="Akapitzlist"/>
        <w:numPr>
          <w:ilvl w:val="0"/>
          <w:numId w:val="3"/>
        </w:numPr>
        <w:spacing w:after="0"/>
        <w:jc w:val="both"/>
        <w:rPr>
          <w:rFonts w:ascii="Arial" w:hAnsi="Arial" w:cs="Arial"/>
          <w:sz w:val="20"/>
          <w:szCs w:val="20"/>
        </w:rPr>
      </w:pPr>
      <w:r w:rsidRPr="0095353D">
        <w:rPr>
          <w:rFonts w:ascii="Arial" w:hAnsi="Arial" w:cs="Arial"/>
          <w:sz w:val="20"/>
          <w:szCs w:val="20"/>
        </w:rPr>
        <w:t xml:space="preserve">łączy w technologii DSL (ang. </w:t>
      </w:r>
      <w:r w:rsidRPr="0095353D">
        <w:rPr>
          <w:rFonts w:ascii="Arial" w:hAnsi="Arial" w:cs="Arial"/>
          <w:i/>
          <w:sz w:val="20"/>
          <w:szCs w:val="20"/>
        </w:rPr>
        <w:t>Digital Subscriber Line</w:t>
      </w:r>
      <w:r w:rsidRPr="0095353D">
        <w:rPr>
          <w:rFonts w:ascii="Arial" w:hAnsi="Arial" w:cs="Arial"/>
          <w:sz w:val="20"/>
          <w:szCs w:val="20"/>
        </w:rPr>
        <w:t xml:space="preserve">), telefonicznych łączy komutowanych (np. ISDN – ang. </w:t>
      </w:r>
      <w:r w:rsidRPr="0095353D">
        <w:rPr>
          <w:rFonts w:ascii="Arial" w:hAnsi="Arial" w:cs="Arial"/>
          <w:i/>
          <w:sz w:val="20"/>
          <w:szCs w:val="20"/>
        </w:rPr>
        <w:t>Integrated Services Digital Network</w:t>
      </w:r>
      <w:r w:rsidRPr="0095353D">
        <w:rPr>
          <w:rFonts w:ascii="Arial" w:hAnsi="Arial" w:cs="Arial"/>
          <w:sz w:val="20"/>
          <w:szCs w:val="20"/>
        </w:rPr>
        <w:t>), łączy satelitarnych, łączy radiowych w paśmie dostępnym bez zezwolenia</w:t>
      </w:r>
    </w:p>
    <w:p w14:paraId="7E3028AF" w14:textId="2ED8402E" w:rsidR="002C51D8" w:rsidRPr="0095353D" w:rsidRDefault="002C51D8" w:rsidP="00C56CD1">
      <w:pPr>
        <w:pStyle w:val="Akapitzlist"/>
        <w:numPr>
          <w:ilvl w:val="0"/>
          <w:numId w:val="3"/>
        </w:numPr>
        <w:spacing w:after="0"/>
        <w:jc w:val="both"/>
        <w:rPr>
          <w:rFonts w:ascii="Arial" w:hAnsi="Arial" w:cs="Arial"/>
          <w:sz w:val="20"/>
          <w:szCs w:val="20"/>
        </w:rPr>
      </w:pPr>
      <w:r w:rsidRPr="00247907">
        <w:rPr>
          <w:rFonts w:ascii="Arial" w:hAnsi="Arial" w:cs="Arial"/>
          <w:sz w:val="20"/>
          <w:szCs w:val="20"/>
        </w:rPr>
        <w:t xml:space="preserve"> </w:t>
      </w:r>
      <w:r w:rsidRPr="0095353D">
        <w:rPr>
          <w:rFonts w:ascii="Arial" w:hAnsi="Arial" w:cs="Arial"/>
          <w:sz w:val="20"/>
          <w:szCs w:val="20"/>
          <w:lang w:val="en-US"/>
        </w:rPr>
        <w:t xml:space="preserve">technologii Wi-Fi (ang. </w:t>
      </w:r>
      <w:r w:rsidRPr="0095353D">
        <w:rPr>
          <w:rFonts w:ascii="Arial" w:hAnsi="Arial" w:cs="Arial"/>
          <w:i/>
          <w:sz w:val="20"/>
          <w:szCs w:val="20"/>
          <w:lang w:val="en-US"/>
        </w:rPr>
        <w:t>Wireless Fidelity</w:t>
      </w:r>
      <w:r w:rsidRPr="0095353D">
        <w:rPr>
          <w:rFonts w:ascii="Arial" w:hAnsi="Arial" w:cs="Arial"/>
          <w:sz w:val="20"/>
          <w:szCs w:val="20"/>
          <w:lang w:val="en-US"/>
        </w:rPr>
        <w:t xml:space="preserve">), WiMAX (ang. </w:t>
      </w:r>
      <w:r w:rsidRPr="0095353D">
        <w:rPr>
          <w:rFonts w:ascii="Arial" w:hAnsi="Arial" w:cs="Arial"/>
          <w:i/>
          <w:sz w:val="20"/>
          <w:szCs w:val="20"/>
          <w:lang w:val="en-US"/>
        </w:rPr>
        <w:t>World Interoperability for Microwave Access</w:t>
      </w:r>
      <w:r w:rsidRPr="0095353D">
        <w:rPr>
          <w:rFonts w:ascii="Arial" w:hAnsi="Arial" w:cs="Arial"/>
          <w:sz w:val="20"/>
          <w:szCs w:val="20"/>
          <w:lang w:val="en-US"/>
        </w:rPr>
        <w:t xml:space="preserve">), HDSPA (ang. </w:t>
      </w:r>
      <w:r w:rsidRPr="0095353D">
        <w:rPr>
          <w:rFonts w:ascii="Arial" w:hAnsi="Arial" w:cs="Arial"/>
          <w:i/>
          <w:sz w:val="20"/>
          <w:szCs w:val="20"/>
        </w:rPr>
        <w:t>High-Speed Downlink Packet Access</w:t>
      </w:r>
      <w:r w:rsidRPr="0095353D">
        <w:rPr>
          <w:rFonts w:ascii="Arial" w:hAnsi="Arial" w:cs="Arial"/>
          <w:sz w:val="20"/>
          <w:szCs w:val="20"/>
        </w:rPr>
        <w:t>), ani żadnej innej technologii używającej pasma dostępnego publicznie bez zezwolenia</w:t>
      </w:r>
    </w:p>
    <w:p w14:paraId="1895AD8C" w14:textId="77777777" w:rsidR="002C51D8" w:rsidRPr="0095353D" w:rsidRDefault="002C51D8" w:rsidP="00C56CD1">
      <w:pPr>
        <w:pStyle w:val="Akapitzlist"/>
        <w:spacing w:after="0"/>
        <w:jc w:val="both"/>
        <w:rPr>
          <w:rFonts w:ascii="Arial" w:hAnsi="Arial" w:cs="Arial"/>
          <w:sz w:val="20"/>
          <w:szCs w:val="20"/>
        </w:rPr>
      </w:pPr>
      <w:r w:rsidRPr="0095353D">
        <w:rPr>
          <w:rFonts w:ascii="Arial" w:hAnsi="Arial" w:cs="Arial"/>
          <w:sz w:val="20"/>
          <w:szCs w:val="20"/>
        </w:rPr>
        <w:t>Nie dopuszcza się realizacji łącza dostępowego drogą radiową, nawet na koncesjonowanych pasmach niepublicznych</w:t>
      </w:r>
    </w:p>
    <w:p w14:paraId="412FA3F5" w14:textId="5F84BB21" w:rsidR="002C51D8" w:rsidRPr="0095353D" w:rsidRDefault="002C51D8"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lastRenderedPageBreak/>
        <w:t xml:space="preserve">Zamawiający wymaga, aby we wszystkich lokalizacjach Wykonawca doprowadził łącza dostępowe do szaf technicznych wskazanych przez </w:t>
      </w:r>
      <w:r w:rsidR="00BA00A1">
        <w:rPr>
          <w:rFonts w:ascii="Arial" w:hAnsi="Arial" w:cs="Arial"/>
          <w:sz w:val="20"/>
          <w:szCs w:val="20"/>
        </w:rPr>
        <w:t>Zamawiającego</w:t>
      </w:r>
      <w:r w:rsidRPr="0095353D">
        <w:rPr>
          <w:rFonts w:ascii="Arial" w:hAnsi="Arial" w:cs="Arial"/>
          <w:sz w:val="20"/>
          <w:szCs w:val="20"/>
        </w:rPr>
        <w:t>.</w:t>
      </w:r>
    </w:p>
    <w:p w14:paraId="5BB1CE83" w14:textId="3625A8BA" w:rsidR="002C51D8" w:rsidRPr="0095353D" w:rsidRDefault="002C51D8"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Zamawiający wymaga zapewnienia bezpieczeństwa przesyłanych danych w sieci Wykonawcy w sposób uniemożliwiający dostęp do przesyłanych informacji przez osoby nieuprawnione oraz gwarancji integralności i wierności przesyłanych danych. Techniczne rozwiązania zapewniające bezpieczeństwo danych w swojej sieci powinien dobrać Wykonawca.</w:t>
      </w:r>
      <w:r w:rsidR="00E20C83" w:rsidRPr="0095353D">
        <w:rPr>
          <w:rFonts w:ascii="Arial" w:hAnsi="Arial" w:cs="Arial"/>
          <w:sz w:val="20"/>
          <w:szCs w:val="20"/>
        </w:rPr>
        <w:t xml:space="preserve"> </w:t>
      </w:r>
    </w:p>
    <w:p w14:paraId="4F4C4FA1" w14:textId="20CF0B06" w:rsidR="002C51D8" w:rsidRPr="0095353D" w:rsidRDefault="002C51D8"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Ruch pomiędzy lokalizacjami a Brożka musi być odseparowany od publicznego Internetu (dane nie mogą dostać się w niepowołane ręce).</w:t>
      </w:r>
    </w:p>
    <w:p w14:paraId="49529619" w14:textId="11DAD11D" w:rsidR="007261A2" w:rsidRPr="0095353D" w:rsidRDefault="007261A2"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Zamawiający wymaga aby infrastruktura światłowodowa stanowiąca bazę podkładową pod usługą IPVPN wraz z najmem łączy światłowodowych przyjęła postać topologii pierścienia (dwóch ringów) zgodnie z załączonym schematem połączen</w:t>
      </w:r>
      <w:r w:rsidR="0095353D">
        <w:rPr>
          <w:rFonts w:ascii="Arial" w:hAnsi="Arial" w:cs="Arial"/>
          <w:sz w:val="20"/>
          <w:szCs w:val="20"/>
        </w:rPr>
        <w:t>ia poszczególnych lokalizacji z </w:t>
      </w:r>
      <w:r w:rsidRPr="0095353D">
        <w:rPr>
          <w:rFonts w:ascii="Arial" w:hAnsi="Arial" w:cs="Arial"/>
          <w:sz w:val="20"/>
          <w:szCs w:val="20"/>
        </w:rPr>
        <w:t>zachowaniem następujących wymagań.</w:t>
      </w:r>
    </w:p>
    <w:p w14:paraId="00551D72" w14:textId="77777777" w:rsidR="007261A2" w:rsidRPr="0095353D" w:rsidRDefault="007261A2" w:rsidP="00C56CD1">
      <w:pPr>
        <w:spacing w:after="0"/>
        <w:jc w:val="both"/>
        <w:rPr>
          <w:rFonts w:ascii="Arial" w:hAnsi="Arial" w:cs="Arial"/>
          <w:sz w:val="20"/>
          <w:szCs w:val="20"/>
        </w:rPr>
      </w:pPr>
    </w:p>
    <w:p w14:paraId="5C574227" w14:textId="77777777" w:rsidR="007261A2" w:rsidRPr="0095353D" w:rsidRDefault="007261A2" w:rsidP="00C56CD1">
      <w:pPr>
        <w:spacing w:after="0"/>
        <w:jc w:val="both"/>
        <w:rPr>
          <w:rFonts w:ascii="Arial" w:hAnsi="Arial" w:cs="Arial"/>
          <w:sz w:val="20"/>
          <w:szCs w:val="20"/>
        </w:rPr>
      </w:pPr>
    </w:p>
    <w:p w14:paraId="1A91C4AA" w14:textId="77777777" w:rsidR="007261A2" w:rsidRPr="0095353D" w:rsidRDefault="007261A2" w:rsidP="00C56CD1">
      <w:pPr>
        <w:spacing w:after="0"/>
        <w:jc w:val="both"/>
        <w:rPr>
          <w:rFonts w:ascii="Arial" w:hAnsi="Arial" w:cs="Arial"/>
          <w:sz w:val="20"/>
          <w:szCs w:val="20"/>
        </w:rPr>
      </w:pPr>
    </w:p>
    <w:p w14:paraId="65325E3C" w14:textId="560F5803" w:rsidR="007261A2" w:rsidRPr="0095353D" w:rsidRDefault="007261A2" w:rsidP="00C56CD1">
      <w:pPr>
        <w:spacing w:after="0"/>
        <w:jc w:val="both"/>
        <w:rPr>
          <w:rFonts w:ascii="Arial" w:hAnsi="Arial" w:cs="Arial"/>
          <w:sz w:val="20"/>
          <w:szCs w:val="20"/>
        </w:rPr>
      </w:pPr>
      <w:r w:rsidRPr="0095353D">
        <w:rPr>
          <w:rFonts w:ascii="Arial" w:hAnsi="Arial" w:cs="Arial"/>
          <w:noProof/>
          <w:sz w:val="20"/>
          <w:szCs w:val="20"/>
        </w:rPr>
        <w:drawing>
          <wp:inline distT="0" distB="0" distL="0" distR="0" wp14:anchorId="44609C22" wp14:editId="082A33BC">
            <wp:extent cx="5762625" cy="3400425"/>
            <wp:effectExtent l="0" t="0" r="9525" b="9525"/>
            <wp:docPr id="4" name="Obraz 4" descr="C:\Users\pmusial\AppData\Local\Microsoft\Windows\INetCache\Content.Word\r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musial\AppData\Local\Microsoft\Windows\INetCache\Content.Word\ry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400425"/>
                    </a:xfrm>
                    <a:prstGeom prst="rect">
                      <a:avLst/>
                    </a:prstGeom>
                    <a:noFill/>
                    <a:ln>
                      <a:noFill/>
                    </a:ln>
                  </pic:spPr>
                </pic:pic>
              </a:graphicData>
            </a:graphic>
          </wp:inline>
        </w:drawing>
      </w:r>
    </w:p>
    <w:p w14:paraId="585611A4" w14:textId="77777777" w:rsidR="007261A2" w:rsidRPr="0095353D" w:rsidRDefault="007261A2" w:rsidP="00C56CD1">
      <w:pPr>
        <w:spacing w:after="0"/>
        <w:jc w:val="both"/>
        <w:rPr>
          <w:rFonts w:ascii="Arial" w:hAnsi="Arial" w:cs="Arial"/>
          <w:sz w:val="20"/>
          <w:szCs w:val="20"/>
        </w:rPr>
      </w:pPr>
    </w:p>
    <w:p w14:paraId="78EFA55B" w14:textId="3CC651CE" w:rsidR="007261A2" w:rsidRDefault="007261A2" w:rsidP="00C56CD1">
      <w:pPr>
        <w:pStyle w:val="Akapitzlist"/>
        <w:numPr>
          <w:ilvl w:val="0"/>
          <w:numId w:val="13"/>
        </w:numPr>
        <w:spacing w:after="0"/>
        <w:jc w:val="both"/>
        <w:rPr>
          <w:rFonts w:ascii="Arial" w:hAnsi="Arial" w:cs="Arial"/>
          <w:sz w:val="20"/>
          <w:szCs w:val="20"/>
        </w:rPr>
      </w:pPr>
      <w:r w:rsidRPr="0095353D">
        <w:rPr>
          <w:rFonts w:ascii="Arial" w:hAnsi="Arial" w:cs="Arial"/>
          <w:sz w:val="20"/>
          <w:szCs w:val="20"/>
        </w:rPr>
        <w:t xml:space="preserve">topologia fizyczna dla lokalizacji PSB </w:t>
      </w:r>
      <w:r w:rsidR="00BA00A1">
        <w:rPr>
          <w:rFonts w:ascii="Arial" w:hAnsi="Arial" w:cs="Arial"/>
          <w:sz w:val="20"/>
          <w:szCs w:val="20"/>
        </w:rPr>
        <w:t xml:space="preserve"> (Punkt Sprzedaży Biletów) </w:t>
      </w:r>
      <w:r w:rsidRPr="0095353D">
        <w:rPr>
          <w:rFonts w:ascii="Arial" w:hAnsi="Arial" w:cs="Arial"/>
          <w:sz w:val="20"/>
          <w:szCs w:val="20"/>
        </w:rPr>
        <w:t>stanowi jeden pierścień zbiegający się w centrali czyli w lokalizacji A0 (Brożka)</w:t>
      </w:r>
      <w:r w:rsidR="00C56CD1">
        <w:rPr>
          <w:rFonts w:ascii="Arial" w:hAnsi="Arial" w:cs="Arial"/>
          <w:sz w:val="20"/>
          <w:szCs w:val="20"/>
        </w:rPr>
        <w:t>;</w:t>
      </w:r>
    </w:p>
    <w:p w14:paraId="5FF32DEC" w14:textId="2BC0E6DA" w:rsidR="007261A2" w:rsidRDefault="007261A2" w:rsidP="00C56CD1">
      <w:pPr>
        <w:pStyle w:val="Akapitzlist"/>
        <w:numPr>
          <w:ilvl w:val="0"/>
          <w:numId w:val="13"/>
        </w:numPr>
        <w:spacing w:after="0"/>
        <w:jc w:val="both"/>
        <w:rPr>
          <w:rFonts w:ascii="Arial" w:hAnsi="Arial" w:cs="Arial"/>
          <w:sz w:val="20"/>
          <w:szCs w:val="20"/>
        </w:rPr>
      </w:pPr>
      <w:r w:rsidRPr="00C56CD1">
        <w:rPr>
          <w:rFonts w:ascii="Arial" w:hAnsi="Arial" w:cs="Arial"/>
          <w:sz w:val="20"/>
          <w:szCs w:val="20"/>
        </w:rPr>
        <w:t>topologia fizyczna dla lokalizacji STACJE stanowi d</w:t>
      </w:r>
      <w:r w:rsidR="0095353D" w:rsidRPr="00C56CD1">
        <w:rPr>
          <w:rFonts w:ascii="Arial" w:hAnsi="Arial" w:cs="Arial"/>
          <w:sz w:val="20"/>
          <w:szCs w:val="20"/>
        </w:rPr>
        <w:t>rugi pierścień zbiegający się w </w:t>
      </w:r>
      <w:r w:rsidRPr="00C56CD1">
        <w:rPr>
          <w:rFonts w:ascii="Arial" w:hAnsi="Arial" w:cs="Arial"/>
          <w:sz w:val="20"/>
          <w:szCs w:val="20"/>
        </w:rPr>
        <w:t>centrali czyli lokalizacji A0 (Brożka)</w:t>
      </w:r>
      <w:r w:rsidR="00C56CD1">
        <w:rPr>
          <w:rFonts w:ascii="Arial" w:hAnsi="Arial" w:cs="Arial"/>
          <w:sz w:val="20"/>
          <w:szCs w:val="20"/>
        </w:rPr>
        <w:t>;</w:t>
      </w:r>
    </w:p>
    <w:p w14:paraId="15AD40EE" w14:textId="0E5BF76C" w:rsidR="007261A2" w:rsidRDefault="007261A2" w:rsidP="00C56CD1">
      <w:pPr>
        <w:pStyle w:val="Akapitzlist"/>
        <w:numPr>
          <w:ilvl w:val="0"/>
          <w:numId w:val="13"/>
        </w:numPr>
        <w:spacing w:after="0"/>
        <w:jc w:val="both"/>
        <w:rPr>
          <w:rFonts w:ascii="Arial" w:hAnsi="Arial" w:cs="Arial"/>
          <w:sz w:val="20"/>
          <w:szCs w:val="20"/>
        </w:rPr>
      </w:pPr>
      <w:r w:rsidRPr="00C56CD1">
        <w:rPr>
          <w:rFonts w:ascii="Arial" w:hAnsi="Arial" w:cs="Arial"/>
          <w:sz w:val="20"/>
          <w:szCs w:val="20"/>
        </w:rPr>
        <w:t xml:space="preserve">dla każdej topologii pierścienia (dotyczącej PSB oraz STACJI) wymagane jest zestawienie </w:t>
      </w:r>
      <w:r w:rsidR="00B242E4">
        <w:rPr>
          <w:rFonts w:ascii="Arial" w:hAnsi="Arial" w:cs="Arial"/>
          <w:sz w:val="20"/>
          <w:szCs w:val="20"/>
        </w:rPr>
        <w:t xml:space="preserve">minimum </w:t>
      </w:r>
      <w:r w:rsidR="002721C3" w:rsidRPr="00C56CD1">
        <w:rPr>
          <w:rFonts w:ascii="Arial" w:hAnsi="Arial" w:cs="Arial"/>
          <w:sz w:val="20"/>
          <w:szCs w:val="20"/>
        </w:rPr>
        <w:t>czterech torów optycznych (4</w:t>
      </w:r>
      <w:r w:rsidRPr="00C56CD1">
        <w:rPr>
          <w:rFonts w:ascii="Arial" w:hAnsi="Arial" w:cs="Arial"/>
          <w:sz w:val="20"/>
          <w:szCs w:val="20"/>
        </w:rPr>
        <w:t>J) łączą</w:t>
      </w:r>
      <w:r w:rsidR="0095353D" w:rsidRPr="00C56CD1">
        <w:rPr>
          <w:rFonts w:ascii="Arial" w:hAnsi="Arial" w:cs="Arial"/>
          <w:sz w:val="20"/>
          <w:szCs w:val="20"/>
        </w:rPr>
        <w:t>cych poszczególne lokalizacje w </w:t>
      </w:r>
      <w:r w:rsidRPr="00C56CD1">
        <w:rPr>
          <w:rFonts w:ascii="Arial" w:hAnsi="Arial" w:cs="Arial"/>
          <w:sz w:val="20"/>
          <w:szCs w:val="20"/>
        </w:rPr>
        <w:t>obrębie pierścienia o</w:t>
      </w:r>
      <w:r w:rsidR="00B242E4">
        <w:rPr>
          <w:rFonts w:ascii="Arial" w:hAnsi="Arial" w:cs="Arial"/>
          <w:sz w:val="20"/>
          <w:szCs w:val="20"/>
        </w:rPr>
        <w:t>raz zachowanie redundancji tras</w:t>
      </w:r>
      <w:r w:rsidRPr="00C56CD1">
        <w:rPr>
          <w:rFonts w:ascii="Arial" w:hAnsi="Arial" w:cs="Arial"/>
          <w:sz w:val="20"/>
          <w:szCs w:val="20"/>
        </w:rPr>
        <w:t xml:space="preserve"> kablowych</w:t>
      </w:r>
      <w:r w:rsidR="00C56CD1">
        <w:rPr>
          <w:rFonts w:ascii="Arial" w:hAnsi="Arial" w:cs="Arial"/>
          <w:sz w:val="20"/>
          <w:szCs w:val="20"/>
        </w:rPr>
        <w:t>;</w:t>
      </w:r>
    </w:p>
    <w:p w14:paraId="581CA33F" w14:textId="67062B2E" w:rsidR="007261A2" w:rsidRDefault="0095353D" w:rsidP="00C56CD1">
      <w:pPr>
        <w:pStyle w:val="Akapitzlist"/>
        <w:numPr>
          <w:ilvl w:val="0"/>
          <w:numId w:val="13"/>
        </w:numPr>
        <w:spacing w:after="0"/>
        <w:jc w:val="both"/>
        <w:rPr>
          <w:rFonts w:ascii="Arial" w:hAnsi="Arial" w:cs="Arial"/>
          <w:sz w:val="20"/>
          <w:szCs w:val="20"/>
        </w:rPr>
      </w:pPr>
      <w:r w:rsidRPr="00C56CD1">
        <w:rPr>
          <w:rFonts w:ascii="Arial" w:hAnsi="Arial" w:cs="Arial"/>
          <w:sz w:val="20"/>
          <w:szCs w:val="20"/>
        </w:rPr>
        <w:t>d</w:t>
      </w:r>
      <w:r w:rsidR="002721C3" w:rsidRPr="00C56CD1">
        <w:rPr>
          <w:rFonts w:ascii="Arial" w:hAnsi="Arial" w:cs="Arial"/>
          <w:sz w:val="20"/>
          <w:szCs w:val="20"/>
        </w:rPr>
        <w:t xml:space="preserve">wa </w:t>
      </w:r>
      <w:r w:rsidR="00B242E4">
        <w:rPr>
          <w:rFonts w:ascii="Arial" w:hAnsi="Arial" w:cs="Arial"/>
          <w:sz w:val="20"/>
          <w:szCs w:val="20"/>
        </w:rPr>
        <w:t>tory optyczne</w:t>
      </w:r>
      <w:r w:rsidR="007261A2" w:rsidRPr="00C56CD1">
        <w:rPr>
          <w:rFonts w:ascii="Arial" w:hAnsi="Arial" w:cs="Arial"/>
          <w:sz w:val="20"/>
          <w:szCs w:val="20"/>
        </w:rPr>
        <w:t xml:space="preserve"> zamawiający przewiduje wykorzyst</w:t>
      </w:r>
      <w:r w:rsidR="00B242E4">
        <w:rPr>
          <w:rFonts w:ascii="Arial" w:hAnsi="Arial" w:cs="Arial"/>
          <w:sz w:val="20"/>
          <w:szCs w:val="20"/>
        </w:rPr>
        <w:t>ać</w:t>
      </w:r>
      <w:r w:rsidR="007261A2" w:rsidRPr="00C56CD1">
        <w:rPr>
          <w:rFonts w:ascii="Arial" w:hAnsi="Arial" w:cs="Arial"/>
          <w:sz w:val="20"/>
          <w:szCs w:val="20"/>
        </w:rPr>
        <w:t xml:space="preserve"> do spięcia własnych urządzeń na potrzeby Disaster Recovery</w:t>
      </w:r>
      <w:r w:rsidR="00C56CD1">
        <w:rPr>
          <w:rFonts w:ascii="Arial" w:hAnsi="Arial" w:cs="Arial"/>
          <w:sz w:val="20"/>
          <w:szCs w:val="20"/>
        </w:rPr>
        <w:t>;</w:t>
      </w:r>
    </w:p>
    <w:p w14:paraId="30333834" w14:textId="12BBDB0A" w:rsidR="007261A2" w:rsidRDefault="007261A2" w:rsidP="00C56CD1">
      <w:pPr>
        <w:pStyle w:val="Akapitzlist"/>
        <w:numPr>
          <w:ilvl w:val="0"/>
          <w:numId w:val="13"/>
        </w:numPr>
        <w:spacing w:after="0"/>
        <w:jc w:val="both"/>
        <w:rPr>
          <w:rFonts w:ascii="Arial" w:hAnsi="Arial" w:cs="Arial"/>
          <w:sz w:val="20"/>
          <w:szCs w:val="20"/>
        </w:rPr>
      </w:pPr>
      <w:r w:rsidRPr="00C56CD1">
        <w:rPr>
          <w:rFonts w:ascii="Arial" w:hAnsi="Arial" w:cs="Arial"/>
          <w:sz w:val="20"/>
          <w:szCs w:val="20"/>
        </w:rPr>
        <w:t>wspólny odcinek kablowy</w:t>
      </w:r>
      <w:r w:rsidR="00354D5C">
        <w:rPr>
          <w:rFonts w:ascii="Arial" w:hAnsi="Arial" w:cs="Arial"/>
          <w:sz w:val="20"/>
          <w:szCs w:val="20"/>
        </w:rPr>
        <w:t xml:space="preserve">/kanalizacyjny </w:t>
      </w:r>
      <w:r w:rsidRPr="00C56CD1">
        <w:rPr>
          <w:rFonts w:ascii="Arial" w:hAnsi="Arial" w:cs="Arial"/>
          <w:sz w:val="20"/>
          <w:szCs w:val="20"/>
        </w:rPr>
        <w:t>realizujący redundancję fizyczną nie może być dłuższy niż 300</w:t>
      </w:r>
      <w:r w:rsidR="000B04CB">
        <w:rPr>
          <w:rFonts w:ascii="Arial" w:hAnsi="Arial" w:cs="Arial"/>
          <w:sz w:val="20"/>
          <w:szCs w:val="20"/>
        </w:rPr>
        <w:t xml:space="preserve"> </w:t>
      </w:r>
      <w:r w:rsidRPr="00C56CD1">
        <w:rPr>
          <w:rFonts w:ascii="Arial" w:hAnsi="Arial" w:cs="Arial"/>
          <w:sz w:val="20"/>
          <w:szCs w:val="20"/>
        </w:rPr>
        <w:t xml:space="preserve">m dla każdej lokalizacji (z możliwością wykluczenia 1 </w:t>
      </w:r>
      <w:r w:rsidRPr="00247907">
        <w:rPr>
          <w:rFonts w:ascii="Arial" w:hAnsi="Arial" w:cs="Arial"/>
          <w:sz w:val="20"/>
          <w:szCs w:val="20"/>
        </w:rPr>
        <w:t>z 11 lokalizacji</w:t>
      </w:r>
      <w:r w:rsidRPr="00C56CD1">
        <w:rPr>
          <w:rFonts w:ascii="Arial" w:hAnsi="Arial" w:cs="Arial"/>
          <w:sz w:val="20"/>
          <w:szCs w:val="20"/>
        </w:rPr>
        <w:t>)</w:t>
      </w:r>
      <w:r w:rsidR="00C56CD1">
        <w:rPr>
          <w:rFonts w:ascii="Arial" w:hAnsi="Arial" w:cs="Arial"/>
          <w:sz w:val="20"/>
          <w:szCs w:val="20"/>
        </w:rPr>
        <w:t>;</w:t>
      </w:r>
    </w:p>
    <w:p w14:paraId="6E4DF49E" w14:textId="688D3AE2" w:rsidR="007261A2" w:rsidRDefault="007261A2" w:rsidP="00C56CD1">
      <w:pPr>
        <w:pStyle w:val="Akapitzlist"/>
        <w:numPr>
          <w:ilvl w:val="0"/>
          <w:numId w:val="13"/>
        </w:numPr>
        <w:spacing w:after="0"/>
        <w:jc w:val="both"/>
        <w:rPr>
          <w:rFonts w:ascii="Arial" w:hAnsi="Arial" w:cs="Arial"/>
          <w:sz w:val="20"/>
          <w:szCs w:val="20"/>
        </w:rPr>
      </w:pPr>
      <w:r w:rsidRPr="00C56CD1">
        <w:rPr>
          <w:rFonts w:ascii="Arial" w:hAnsi="Arial" w:cs="Arial"/>
          <w:sz w:val="20"/>
          <w:szCs w:val="20"/>
        </w:rPr>
        <w:t>poszczególne lokalizacje w topologii pierścienia zarówno dla PSB i STACJI będę połączone torami optycznymi w postaci odcinków nie dłuższych niż 15</w:t>
      </w:r>
      <w:r w:rsidR="00C56CD1">
        <w:rPr>
          <w:rFonts w:ascii="Arial" w:hAnsi="Arial" w:cs="Arial"/>
          <w:sz w:val="20"/>
          <w:szCs w:val="20"/>
        </w:rPr>
        <w:t xml:space="preserve"> km;</w:t>
      </w:r>
    </w:p>
    <w:p w14:paraId="1BC5868E" w14:textId="3497D6A7" w:rsidR="007261A2" w:rsidRDefault="007261A2" w:rsidP="00C56CD1">
      <w:pPr>
        <w:pStyle w:val="Akapitzlist"/>
        <w:numPr>
          <w:ilvl w:val="0"/>
          <w:numId w:val="13"/>
        </w:numPr>
        <w:spacing w:after="0"/>
        <w:jc w:val="both"/>
        <w:rPr>
          <w:rFonts w:ascii="Arial" w:hAnsi="Arial" w:cs="Arial"/>
          <w:sz w:val="20"/>
          <w:szCs w:val="20"/>
        </w:rPr>
      </w:pPr>
      <w:r w:rsidRPr="00C56CD1">
        <w:rPr>
          <w:rFonts w:ascii="Arial" w:hAnsi="Arial" w:cs="Arial"/>
          <w:sz w:val="20"/>
          <w:szCs w:val="20"/>
        </w:rPr>
        <w:t>suma długości pojedynczych torów optycznych łączą</w:t>
      </w:r>
      <w:r w:rsidR="0095353D" w:rsidRPr="00C56CD1">
        <w:rPr>
          <w:rFonts w:ascii="Arial" w:hAnsi="Arial" w:cs="Arial"/>
          <w:sz w:val="20"/>
          <w:szCs w:val="20"/>
        </w:rPr>
        <w:t>cych poszczególne lokalizacje w </w:t>
      </w:r>
      <w:r w:rsidRPr="00C56CD1">
        <w:rPr>
          <w:rFonts w:ascii="Arial" w:hAnsi="Arial" w:cs="Arial"/>
          <w:sz w:val="20"/>
          <w:szCs w:val="20"/>
        </w:rPr>
        <w:t>pierścieniu PSB nie może przekroczyć 60</w:t>
      </w:r>
      <w:r w:rsidR="00C56CD1">
        <w:rPr>
          <w:rFonts w:ascii="Arial" w:hAnsi="Arial" w:cs="Arial"/>
          <w:sz w:val="20"/>
          <w:szCs w:val="20"/>
        </w:rPr>
        <w:t xml:space="preserve"> </w:t>
      </w:r>
      <w:r w:rsidRPr="00C56CD1">
        <w:rPr>
          <w:rFonts w:ascii="Arial" w:hAnsi="Arial" w:cs="Arial"/>
          <w:sz w:val="20"/>
          <w:szCs w:val="20"/>
        </w:rPr>
        <w:t>km</w:t>
      </w:r>
      <w:r w:rsidR="00C56CD1">
        <w:rPr>
          <w:rFonts w:ascii="Arial" w:hAnsi="Arial" w:cs="Arial"/>
          <w:sz w:val="20"/>
          <w:szCs w:val="20"/>
        </w:rPr>
        <w:t>;</w:t>
      </w:r>
    </w:p>
    <w:p w14:paraId="2234085E" w14:textId="098FCCF3" w:rsidR="007261A2" w:rsidRDefault="007261A2" w:rsidP="00C56CD1">
      <w:pPr>
        <w:pStyle w:val="Akapitzlist"/>
        <w:numPr>
          <w:ilvl w:val="0"/>
          <w:numId w:val="13"/>
        </w:numPr>
        <w:spacing w:after="0"/>
        <w:jc w:val="both"/>
        <w:rPr>
          <w:rFonts w:ascii="Arial" w:hAnsi="Arial" w:cs="Arial"/>
          <w:sz w:val="20"/>
          <w:szCs w:val="20"/>
        </w:rPr>
      </w:pPr>
      <w:r w:rsidRPr="00C56CD1">
        <w:rPr>
          <w:rFonts w:ascii="Arial" w:hAnsi="Arial" w:cs="Arial"/>
          <w:sz w:val="20"/>
          <w:szCs w:val="20"/>
        </w:rPr>
        <w:lastRenderedPageBreak/>
        <w:t>suma długości pojedynczych torów optycznych łączących poszc</w:t>
      </w:r>
      <w:r w:rsidR="0095353D" w:rsidRPr="00C56CD1">
        <w:rPr>
          <w:rFonts w:ascii="Arial" w:hAnsi="Arial" w:cs="Arial"/>
          <w:sz w:val="20"/>
          <w:szCs w:val="20"/>
        </w:rPr>
        <w:t>zególne lokalizacje w </w:t>
      </w:r>
      <w:r w:rsidRPr="00C56CD1">
        <w:rPr>
          <w:rFonts w:ascii="Arial" w:hAnsi="Arial" w:cs="Arial"/>
          <w:sz w:val="20"/>
          <w:szCs w:val="20"/>
        </w:rPr>
        <w:t>pierścieniu STACJE nie może przekroczyć 60</w:t>
      </w:r>
      <w:r w:rsidR="00C56CD1">
        <w:rPr>
          <w:rFonts w:ascii="Arial" w:hAnsi="Arial" w:cs="Arial"/>
          <w:sz w:val="20"/>
          <w:szCs w:val="20"/>
        </w:rPr>
        <w:t xml:space="preserve"> </w:t>
      </w:r>
      <w:r w:rsidRPr="00C56CD1">
        <w:rPr>
          <w:rFonts w:ascii="Arial" w:hAnsi="Arial" w:cs="Arial"/>
          <w:sz w:val="20"/>
          <w:szCs w:val="20"/>
        </w:rPr>
        <w:t>km</w:t>
      </w:r>
      <w:r w:rsidR="00C56CD1">
        <w:rPr>
          <w:rFonts w:ascii="Arial" w:hAnsi="Arial" w:cs="Arial"/>
          <w:sz w:val="20"/>
          <w:szCs w:val="20"/>
        </w:rPr>
        <w:t>;</w:t>
      </w:r>
    </w:p>
    <w:p w14:paraId="41E6B5CE" w14:textId="183A2A3D" w:rsidR="007261A2" w:rsidRPr="00C56CD1" w:rsidRDefault="007261A2" w:rsidP="00C56CD1">
      <w:pPr>
        <w:pStyle w:val="Akapitzlist"/>
        <w:numPr>
          <w:ilvl w:val="0"/>
          <w:numId w:val="13"/>
        </w:numPr>
        <w:spacing w:after="0"/>
        <w:jc w:val="both"/>
        <w:rPr>
          <w:rFonts w:ascii="Arial" w:hAnsi="Arial" w:cs="Arial"/>
          <w:sz w:val="20"/>
          <w:szCs w:val="20"/>
        </w:rPr>
      </w:pPr>
      <w:r w:rsidRPr="00C56CD1">
        <w:rPr>
          <w:rFonts w:ascii="Arial" w:hAnsi="Arial" w:cs="Arial"/>
          <w:sz w:val="20"/>
          <w:szCs w:val="20"/>
        </w:rPr>
        <w:t>tory optyczne (wyodrębnione włókna / odcinki) łączące poszczególne lokalizację muszą zostać podane pomiarom reflektometrycznym z zachowaniem norm, które dadzą możliwość Klientowi realizacji na ich bazie zwielokrotnienia falowego bazując na własnych urządzeniach DWDM</w:t>
      </w:r>
      <w:r w:rsidR="00C56CD1">
        <w:rPr>
          <w:rFonts w:ascii="Arial" w:hAnsi="Arial" w:cs="Arial"/>
          <w:sz w:val="20"/>
          <w:szCs w:val="20"/>
        </w:rPr>
        <w:t>.</w:t>
      </w:r>
    </w:p>
    <w:p w14:paraId="1C8E3126" w14:textId="6147E675" w:rsidR="00DA0822" w:rsidRPr="00BA00A1" w:rsidRDefault="00563AE0" w:rsidP="00C56CD1">
      <w:pPr>
        <w:pStyle w:val="Akapitzlist"/>
        <w:numPr>
          <w:ilvl w:val="0"/>
          <w:numId w:val="2"/>
        </w:numPr>
        <w:spacing w:after="0"/>
        <w:jc w:val="both"/>
        <w:rPr>
          <w:rFonts w:ascii="Arial" w:hAnsi="Arial" w:cs="Arial"/>
          <w:sz w:val="20"/>
          <w:szCs w:val="20"/>
        </w:rPr>
      </w:pPr>
      <w:r w:rsidRPr="00BA00A1">
        <w:rPr>
          <w:rFonts w:ascii="Arial" w:hAnsi="Arial" w:cs="Arial"/>
          <w:sz w:val="20"/>
          <w:szCs w:val="20"/>
        </w:rPr>
        <w:t>Zamawiający wymaga</w:t>
      </w:r>
      <w:r w:rsidR="00DA0822" w:rsidRPr="00BA00A1">
        <w:rPr>
          <w:rFonts w:ascii="Arial" w:hAnsi="Arial" w:cs="Arial"/>
          <w:sz w:val="20"/>
          <w:szCs w:val="20"/>
        </w:rPr>
        <w:t xml:space="preserve"> przedstawienia </w:t>
      </w:r>
      <w:r w:rsidR="0095353D" w:rsidRPr="00BA00A1">
        <w:rPr>
          <w:rFonts w:ascii="Arial" w:hAnsi="Arial" w:cs="Arial"/>
          <w:sz w:val="20"/>
          <w:szCs w:val="20"/>
          <w:u w:val="single"/>
        </w:rPr>
        <w:t>do oferty</w:t>
      </w:r>
      <w:r w:rsidR="0095353D" w:rsidRPr="00BA00A1">
        <w:rPr>
          <w:rFonts w:ascii="Arial" w:hAnsi="Arial" w:cs="Arial"/>
          <w:sz w:val="20"/>
          <w:szCs w:val="20"/>
        </w:rPr>
        <w:t xml:space="preserve"> </w:t>
      </w:r>
      <w:r w:rsidR="00DA0822" w:rsidRPr="00BA00A1">
        <w:rPr>
          <w:rFonts w:ascii="Arial" w:hAnsi="Arial" w:cs="Arial"/>
          <w:sz w:val="20"/>
          <w:szCs w:val="20"/>
        </w:rPr>
        <w:t>w formie graficznej tras kablowych na mapie  skali 1:10</w:t>
      </w:r>
      <w:r w:rsidR="00C56CD1" w:rsidRPr="00BA00A1">
        <w:rPr>
          <w:rFonts w:ascii="Arial" w:hAnsi="Arial" w:cs="Arial"/>
          <w:sz w:val="20"/>
          <w:szCs w:val="20"/>
        </w:rPr>
        <w:t xml:space="preserve"> </w:t>
      </w:r>
      <w:r w:rsidR="00DA0822" w:rsidRPr="00BA00A1">
        <w:rPr>
          <w:rFonts w:ascii="Arial" w:hAnsi="Arial" w:cs="Arial"/>
          <w:sz w:val="20"/>
          <w:szCs w:val="20"/>
        </w:rPr>
        <w:t>000 lub bardziej precyzyjn</w:t>
      </w:r>
      <w:r w:rsidR="00BA00A1" w:rsidRPr="00BA00A1">
        <w:rPr>
          <w:rFonts w:ascii="Arial" w:hAnsi="Arial" w:cs="Arial"/>
          <w:sz w:val="20"/>
          <w:szCs w:val="20"/>
        </w:rPr>
        <w:t xml:space="preserve">ej </w:t>
      </w:r>
      <w:r w:rsidR="00DA0822" w:rsidRPr="00BA00A1">
        <w:rPr>
          <w:rFonts w:ascii="Arial" w:hAnsi="Arial" w:cs="Arial"/>
          <w:sz w:val="20"/>
          <w:szCs w:val="20"/>
        </w:rPr>
        <w:t xml:space="preserve">prezentującej docelową </w:t>
      </w:r>
      <w:r w:rsidR="00BA00A1" w:rsidRPr="00BA00A1">
        <w:rPr>
          <w:rFonts w:ascii="Arial" w:hAnsi="Arial" w:cs="Arial"/>
          <w:sz w:val="20"/>
          <w:szCs w:val="20"/>
        </w:rPr>
        <w:t>realizację U</w:t>
      </w:r>
      <w:r w:rsidR="00DA0822" w:rsidRPr="00BA00A1">
        <w:rPr>
          <w:rFonts w:ascii="Arial" w:hAnsi="Arial" w:cs="Arial"/>
          <w:sz w:val="20"/>
          <w:szCs w:val="20"/>
        </w:rPr>
        <w:t>sługi od strony okablowania fizycznego z uszczegółowieniem miejsc wspólnych dla torów kablowych</w:t>
      </w:r>
      <w:r w:rsidR="00C56CD1" w:rsidRPr="00BA00A1">
        <w:rPr>
          <w:rFonts w:ascii="Arial" w:hAnsi="Arial" w:cs="Arial"/>
          <w:sz w:val="20"/>
          <w:szCs w:val="20"/>
        </w:rPr>
        <w:t xml:space="preserve">, potwierdzającą spełnienie wymagań o których mowa w pkt. 5 powyżej. </w:t>
      </w:r>
    </w:p>
    <w:p w14:paraId="47F7A6F3" w14:textId="1778E432" w:rsidR="00DA0822" w:rsidRPr="00C56CD1" w:rsidRDefault="00563AE0" w:rsidP="00C56CD1">
      <w:pPr>
        <w:pStyle w:val="Akapitzlist"/>
        <w:numPr>
          <w:ilvl w:val="0"/>
          <w:numId w:val="2"/>
        </w:numPr>
        <w:spacing w:after="0"/>
        <w:jc w:val="both"/>
        <w:rPr>
          <w:rFonts w:ascii="Arial" w:hAnsi="Arial" w:cs="Arial"/>
          <w:sz w:val="20"/>
          <w:szCs w:val="20"/>
        </w:rPr>
      </w:pPr>
      <w:r w:rsidRPr="00C56CD1">
        <w:rPr>
          <w:rFonts w:ascii="Arial" w:hAnsi="Arial" w:cs="Arial"/>
          <w:sz w:val="20"/>
          <w:szCs w:val="20"/>
        </w:rPr>
        <w:t xml:space="preserve">Zamawiający wymaga </w:t>
      </w:r>
      <w:r w:rsidR="00DA0822" w:rsidRPr="00C56CD1">
        <w:rPr>
          <w:rFonts w:ascii="Arial" w:hAnsi="Arial" w:cs="Arial"/>
          <w:sz w:val="20"/>
          <w:szCs w:val="20"/>
        </w:rPr>
        <w:t xml:space="preserve">aby </w:t>
      </w:r>
      <w:r w:rsidR="0095353D" w:rsidRPr="00C56CD1">
        <w:rPr>
          <w:rFonts w:ascii="Arial" w:hAnsi="Arial" w:cs="Arial"/>
          <w:sz w:val="20"/>
          <w:szCs w:val="20"/>
        </w:rPr>
        <w:t>Wykonawca</w:t>
      </w:r>
      <w:r w:rsidR="00DA0822" w:rsidRPr="00C56CD1">
        <w:rPr>
          <w:rFonts w:ascii="Arial" w:hAnsi="Arial" w:cs="Arial"/>
          <w:sz w:val="20"/>
          <w:szCs w:val="20"/>
        </w:rPr>
        <w:t xml:space="preserve"> bazował tylko i wyłącznie na własnej infrastrukturze światłowodowej w celu zapewnienia najwyższego poziomu bezpieczeństwa i jakości </w:t>
      </w:r>
      <w:r w:rsidR="00C56CD1" w:rsidRPr="00C56CD1">
        <w:rPr>
          <w:rFonts w:ascii="Arial" w:hAnsi="Arial" w:cs="Arial"/>
          <w:sz w:val="20"/>
          <w:szCs w:val="20"/>
        </w:rPr>
        <w:t>świadczonej U</w:t>
      </w:r>
      <w:r w:rsidR="00DA0822" w:rsidRPr="00C56CD1">
        <w:rPr>
          <w:rFonts w:ascii="Arial" w:hAnsi="Arial" w:cs="Arial"/>
          <w:sz w:val="20"/>
          <w:szCs w:val="20"/>
        </w:rPr>
        <w:t>sługi</w:t>
      </w:r>
    </w:p>
    <w:p w14:paraId="3442A0A8" w14:textId="13B97070" w:rsidR="00DA0822" w:rsidRPr="0095353D" w:rsidRDefault="00563AE0"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 xml:space="preserve">Zamawiający wymaga </w:t>
      </w:r>
      <w:r w:rsidR="00DA0822" w:rsidRPr="0095353D">
        <w:rPr>
          <w:rFonts w:ascii="Arial" w:hAnsi="Arial" w:cs="Arial"/>
          <w:sz w:val="20"/>
          <w:szCs w:val="20"/>
        </w:rPr>
        <w:t>od dostawcy aby dla lokalizacji A0</w:t>
      </w:r>
      <w:r w:rsidR="0095353D">
        <w:rPr>
          <w:rFonts w:ascii="Arial" w:hAnsi="Arial" w:cs="Arial"/>
          <w:sz w:val="20"/>
          <w:szCs w:val="20"/>
        </w:rPr>
        <w:t>, A1, A2, A3, A4, A5 (zgodnie z </w:t>
      </w:r>
      <w:r w:rsidR="00DA0822" w:rsidRPr="0095353D">
        <w:rPr>
          <w:rFonts w:ascii="Arial" w:hAnsi="Arial" w:cs="Arial"/>
          <w:sz w:val="20"/>
          <w:szCs w:val="20"/>
        </w:rPr>
        <w:t>rysunkiem) operator zagwarantował min. dwa urządzenia na których będzie możliwość odebrania usługi IPVPN, urządzenia w tych lokalizacjach mają stanowić element ciągły topologii pierścienia</w:t>
      </w:r>
    </w:p>
    <w:p w14:paraId="0B990DC7" w14:textId="5017DC37" w:rsidR="00DA0822" w:rsidRDefault="00563AE0"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Zamawiający wymaga</w:t>
      </w:r>
      <w:r w:rsidR="00DA0822" w:rsidRPr="0095353D">
        <w:rPr>
          <w:rFonts w:ascii="Arial" w:hAnsi="Arial" w:cs="Arial"/>
          <w:sz w:val="20"/>
          <w:szCs w:val="20"/>
        </w:rPr>
        <w:t xml:space="preserve"> następujących interfejsów stykowych:</w:t>
      </w:r>
    </w:p>
    <w:p w14:paraId="09B23494" w14:textId="3B57454B" w:rsidR="00DA0822" w:rsidRDefault="00DA0822" w:rsidP="00C56CD1">
      <w:pPr>
        <w:pStyle w:val="Akapitzlist"/>
        <w:numPr>
          <w:ilvl w:val="1"/>
          <w:numId w:val="2"/>
        </w:numPr>
        <w:spacing w:after="0"/>
        <w:jc w:val="both"/>
        <w:rPr>
          <w:rFonts w:ascii="Arial" w:hAnsi="Arial" w:cs="Arial"/>
          <w:sz w:val="20"/>
          <w:szCs w:val="20"/>
        </w:rPr>
      </w:pPr>
      <w:r w:rsidRPr="0095353D">
        <w:rPr>
          <w:rFonts w:ascii="Arial" w:hAnsi="Arial" w:cs="Arial"/>
          <w:sz w:val="20"/>
          <w:szCs w:val="20"/>
        </w:rPr>
        <w:t xml:space="preserve">dla lokalizacji B1,B2,B3,B4,B5 interfejs 1GE optyczny stykowy z własną infrastrukturą, </w:t>
      </w:r>
    </w:p>
    <w:p w14:paraId="1497B837" w14:textId="5F8E3794" w:rsidR="00DA0822" w:rsidRDefault="00DA0822" w:rsidP="00C56CD1">
      <w:pPr>
        <w:pStyle w:val="Akapitzlist"/>
        <w:numPr>
          <w:ilvl w:val="1"/>
          <w:numId w:val="2"/>
        </w:numPr>
        <w:spacing w:after="0"/>
        <w:jc w:val="both"/>
        <w:rPr>
          <w:rFonts w:ascii="Arial" w:hAnsi="Arial" w:cs="Arial"/>
          <w:sz w:val="20"/>
          <w:szCs w:val="20"/>
        </w:rPr>
      </w:pPr>
      <w:r w:rsidRPr="0095353D">
        <w:rPr>
          <w:rFonts w:ascii="Arial" w:hAnsi="Arial" w:cs="Arial"/>
          <w:sz w:val="20"/>
          <w:szCs w:val="20"/>
        </w:rPr>
        <w:t xml:space="preserve">dla lokalizacji A1,A2,A3,A4,A5 interfejs 10GE optyczny stykowy z własną infrastrukturą, </w:t>
      </w:r>
    </w:p>
    <w:p w14:paraId="4AC7052C" w14:textId="307DAFF0" w:rsidR="00DA0822" w:rsidRPr="0095353D" w:rsidRDefault="00DA0822" w:rsidP="00C56CD1">
      <w:pPr>
        <w:pStyle w:val="Akapitzlist"/>
        <w:numPr>
          <w:ilvl w:val="1"/>
          <w:numId w:val="2"/>
        </w:numPr>
        <w:spacing w:after="0"/>
        <w:jc w:val="both"/>
        <w:rPr>
          <w:rFonts w:ascii="Arial" w:hAnsi="Arial" w:cs="Arial"/>
          <w:sz w:val="20"/>
          <w:szCs w:val="20"/>
        </w:rPr>
      </w:pPr>
      <w:r w:rsidRPr="0095353D">
        <w:rPr>
          <w:rFonts w:ascii="Arial" w:hAnsi="Arial" w:cs="Arial"/>
          <w:sz w:val="20"/>
          <w:szCs w:val="20"/>
        </w:rPr>
        <w:t xml:space="preserve">dla lokalizacji A0 (Brożka) interfejs 40GE optyczny </w:t>
      </w:r>
      <w:r w:rsidR="00085400" w:rsidRPr="0095353D">
        <w:rPr>
          <w:rFonts w:ascii="Arial" w:hAnsi="Arial" w:cs="Arial"/>
          <w:sz w:val="20"/>
          <w:szCs w:val="20"/>
        </w:rPr>
        <w:t>Q</w:t>
      </w:r>
      <w:r w:rsidR="00563AE0" w:rsidRPr="0095353D">
        <w:rPr>
          <w:rFonts w:ascii="Arial" w:hAnsi="Arial" w:cs="Arial"/>
          <w:sz w:val="20"/>
          <w:szCs w:val="20"/>
        </w:rPr>
        <w:t>SFP</w:t>
      </w:r>
      <w:r w:rsidR="00890B53" w:rsidRPr="0095353D">
        <w:rPr>
          <w:rFonts w:ascii="Arial" w:hAnsi="Arial" w:cs="Arial"/>
          <w:sz w:val="20"/>
          <w:szCs w:val="20"/>
        </w:rPr>
        <w:t>+</w:t>
      </w:r>
      <w:r w:rsidR="00563AE0" w:rsidRPr="0095353D">
        <w:rPr>
          <w:rFonts w:ascii="Arial" w:hAnsi="Arial" w:cs="Arial"/>
          <w:sz w:val="20"/>
          <w:szCs w:val="20"/>
        </w:rPr>
        <w:t xml:space="preserve"> </w:t>
      </w:r>
      <w:r w:rsidRPr="0095353D">
        <w:rPr>
          <w:rFonts w:ascii="Arial" w:hAnsi="Arial" w:cs="Arial"/>
          <w:sz w:val="20"/>
          <w:szCs w:val="20"/>
        </w:rPr>
        <w:t>stykowy z własną infrastrukturą</w:t>
      </w:r>
    </w:p>
    <w:p w14:paraId="3D97BDBD" w14:textId="2558DF2A" w:rsidR="002C51D8" w:rsidRPr="0095353D" w:rsidRDefault="002C51D8"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 xml:space="preserve">Zamawiający wymaga, aby przełączenie </w:t>
      </w:r>
      <w:r w:rsidR="00BA00A1">
        <w:rPr>
          <w:rFonts w:ascii="Arial" w:hAnsi="Arial" w:cs="Arial"/>
          <w:sz w:val="20"/>
          <w:szCs w:val="20"/>
        </w:rPr>
        <w:t>środowiska Zamawiającego</w:t>
      </w:r>
      <w:r w:rsidRPr="0095353D">
        <w:rPr>
          <w:rFonts w:ascii="Arial" w:hAnsi="Arial" w:cs="Arial"/>
          <w:sz w:val="20"/>
          <w:szCs w:val="20"/>
        </w:rPr>
        <w:t xml:space="preserve"> z obecnej sieci WAN do sieci docelowej Wykonawcy zostało wykonane przy założen</w:t>
      </w:r>
      <w:r w:rsidR="00BA00A1">
        <w:rPr>
          <w:rFonts w:ascii="Arial" w:hAnsi="Arial" w:cs="Arial"/>
          <w:sz w:val="20"/>
          <w:szCs w:val="20"/>
        </w:rPr>
        <w:t>iu ciągłości pracy sieci WAN, z  </w:t>
      </w:r>
      <w:r w:rsidRPr="00BA00A1">
        <w:t>dopuszczalną</w:t>
      </w:r>
      <w:r w:rsidRPr="0095353D">
        <w:rPr>
          <w:rFonts w:ascii="Arial" w:hAnsi="Arial" w:cs="Arial"/>
          <w:sz w:val="20"/>
          <w:szCs w:val="20"/>
        </w:rPr>
        <w:t xml:space="preserve"> przerwą w pracy przełączanych jednostek nie większą niż „czas usunięcia pojedynczej awarii” zgodną z SLA.</w:t>
      </w:r>
    </w:p>
    <w:p w14:paraId="0156C4DF" w14:textId="3FA5F8A5" w:rsidR="002C51D8" w:rsidRPr="0095353D" w:rsidRDefault="002C51D8"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 xml:space="preserve">Zamawiający wymaga, aby Wykonawca obsługiwał adresy IP używane przez Zamawiającego w sieci WAN z puli określonej w dokumencie RFC 1918 (ang. </w:t>
      </w:r>
      <w:r w:rsidRPr="0095353D">
        <w:rPr>
          <w:rFonts w:ascii="Arial" w:hAnsi="Arial" w:cs="Arial"/>
          <w:i/>
          <w:sz w:val="20"/>
          <w:szCs w:val="20"/>
        </w:rPr>
        <w:t>Request For Comments</w:t>
      </w:r>
      <w:r w:rsidRPr="0095353D">
        <w:rPr>
          <w:rFonts w:ascii="Arial" w:hAnsi="Arial" w:cs="Arial"/>
          <w:sz w:val="20"/>
          <w:szCs w:val="20"/>
        </w:rPr>
        <w:t>).</w:t>
      </w:r>
    </w:p>
    <w:p w14:paraId="78CB3DE1" w14:textId="77777777" w:rsidR="002C51D8" w:rsidRPr="0095353D" w:rsidRDefault="002C51D8"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 xml:space="preserve">Do wymiany informacji routingowej pomiędzy siecią Zamawiającego a siecią Wykonawcy będzie wykorzystywany jeden z protokołów routingu: RIPv2 (ang. </w:t>
      </w:r>
      <w:r w:rsidRPr="0095353D">
        <w:rPr>
          <w:rFonts w:ascii="Arial" w:hAnsi="Arial" w:cs="Arial"/>
          <w:i/>
          <w:sz w:val="20"/>
          <w:szCs w:val="20"/>
          <w:lang w:val="en-US"/>
        </w:rPr>
        <w:t>Routing Information Protocol</w:t>
      </w:r>
      <w:r w:rsidRPr="0095353D">
        <w:rPr>
          <w:rFonts w:ascii="Arial" w:hAnsi="Arial" w:cs="Arial"/>
          <w:sz w:val="20"/>
          <w:szCs w:val="20"/>
          <w:lang w:val="en-US"/>
        </w:rPr>
        <w:t xml:space="preserve">), OSPF (ang. </w:t>
      </w:r>
      <w:r w:rsidRPr="0095353D">
        <w:rPr>
          <w:rFonts w:ascii="Arial" w:hAnsi="Arial" w:cs="Arial"/>
          <w:i/>
          <w:sz w:val="20"/>
          <w:szCs w:val="20"/>
          <w:lang w:val="en-US"/>
        </w:rPr>
        <w:t>Open Shortest Path First</w:t>
      </w:r>
      <w:r w:rsidRPr="0095353D">
        <w:rPr>
          <w:rFonts w:ascii="Arial" w:hAnsi="Arial" w:cs="Arial"/>
          <w:sz w:val="20"/>
          <w:szCs w:val="20"/>
          <w:lang w:val="en-US"/>
        </w:rPr>
        <w:t xml:space="preserve">), BGP (ang. </w:t>
      </w:r>
      <w:r w:rsidRPr="0095353D">
        <w:rPr>
          <w:rFonts w:ascii="Arial" w:hAnsi="Arial" w:cs="Arial"/>
          <w:i/>
          <w:sz w:val="20"/>
          <w:szCs w:val="20"/>
        </w:rPr>
        <w:t>Border Gateway Protocol</w:t>
      </w:r>
      <w:r w:rsidRPr="0095353D">
        <w:rPr>
          <w:rFonts w:ascii="Arial" w:hAnsi="Arial" w:cs="Arial"/>
          <w:sz w:val="20"/>
          <w:szCs w:val="20"/>
        </w:rPr>
        <w:t xml:space="preserve">) lub poprzez routing statyczny. Urządzenia dostępowe Wykonawcy muszą wspierać każdy z tych w/w protokołów dla interfejsów przyłączeniowych. Wybór protokołu zostanie określony na etapie realizacji sieci. </w:t>
      </w:r>
    </w:p>
    <w:p w14:paraId="2811DAA6" w14:textId="77777777" w:rsidR="002C51D8" w:rsidRPr="0095353D" w:rsidRDefault="002C51D8"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Zamawiający wymaga zróżnicowania ruchu według klas QoS w ramach pasma gwarantowanego na urządzeniu dostępowym z zapewnieniem:</w:t>
      </w:r>
    </w:p>
    <w:p w14:paraId="4FFDE5B3" w14:textId="044D430C" w:rsidR="002C51D8" w:rsidRPr="0095353D" w:rsidRDefault="002C51D8" w:rsidP="00C56CD1">
      <w:pPr>
        <w:pStyle w:val="Akapitzlist"/>
        <w:numPr>
          <w:ilvl w:val="0"/>
          <w:numId w:val="4"/>
        </w:numPr>
        <w:spacing w:after="0"/>
        <w:jc w:val="both"/>
        <w:rPr>
          <w:rFonts w:ascii="Arial" w:hAnsi="Arial" w:cs="Arial"/>
          <w:sz w:val="20"/>
          <w:szCs w:val="20"/>
        </w:rPr>
      </w:pPr>
      <w:r w:rsidRPr="0095353D">
        <w:rPr>
          <w:rFonts w:ascii="Arial" w:hAnsi="Arial" w:cs="Arial"/>
          <w:sz w:val="20"/>
          <w:szCs w:val="20"/>
        </w:rPr>
        <w:t xml:space="preserve">Możliwości zdefiniowania </w:t>
      </w:r>
      <w:r w:rsidR="00193F18" w:rsidRPr="0095353D">
        <w:rPr>
          <w:rFonts w:ascii="Arial" w:hAnsi="Arial" w:cs="Arial"/>
          <w:sz w:val="20"/>
          <w:szCs w:val="20"/>
        </w:rPr>
        <w:t xml:space="preserve">(na etapie wdrożenia tj. do 90 dni od daty podpisania umowy) </w:t>
      </w:r>
      <w:r w:rsidRPr="0095353D">
        <w:rPr>
          <w:rFonts w:ascii="Arial" w:hAnsi="Arial" w:cs="Arial"/>
          <w:sz w:val="20"/>
          <w:szCs w:val="20"/>
        </w:rPr>
        <w:t>minimum 3 klas QoS ruchu, z gwarancją definiowania dowolnego podziału pasma według uznania Zamawiającego (nie częściej niż raz na 3 miesiące)</w:t>
      </w:r>
    </w:p>
    <w:p w14:paraId="5A61E43C" w14:textId="7ECA0348" w:rsidR="002C51D8" w:rsidRPr="0095353D" w:rsidRDefault="002C51D8" w:rsidP="00C56CD1">
      <w:pPr>
        <w:pStyle w:val="Akapitzlist"/>
        <w:numPr>
          <w:ilvl w:val="0"/>
          <w:numId w:val="4"/>
        </w:numPr>
        <w:spacing w:after="0"/>
        <w:jc w:val="both"/>
        <w:rPr>
          <w:rFonts w:ascii="Arial" w:hAnsi="Arial" w:cs="Arial"/>
          <w:sz w:val="20"/>
          <w:szCs w:val="20"/>
        </w:rPr>
      </w:pPr>
      <w:r w:rsidRPr="0095353D">
        <w:rPr>
          <w:rFonts w:ascii="Arial" w:hAnsi="Arial" w:cs="Arial"/>
          <w:sz w:val="20"/>
          <w:szCs w:val="20"/>
        </w:rPr>
        <w:t xml:space="preserve">Możliwości przypisania ruchu do konkretnej klasy QoS w oparciu o: IP Precedence, IP DSCP, adres IP docelowy, adres IP źródłowy, port UDP (ang. </w:t>
      </w:r>
      <w:r w:rsidRPr="0095353D">
        <w:rPr>
          <w:rFonts w:ascii="Arial" w:hAnsi="Arial" w:cs="Arial"/>
          <w:i/>
          <w:sz w:val="20"/>
          <w:szCs w:val="20"/>
        </w:rPr>
        <w:t>User Datagram Protocol</w:t>
      </w:r>
      <w:r w:rsidRPr="0095353D">
        <w:rPr>
          <w:rFonts w:ascii="Arial" w:hAnsi="Arial" w:cs="Arial"/>
          <w:sz w:val="20"/>
          <w:szCs w:val="20"/>
        </w:rPr>
        <w:t xml:space="preserve">), port TCP (ang. </w:t>
      </w:r>
      <w:r w:rsidRPr="0095353D">
        <w:rPr>
          <w:rFonts w:ascii="Arial" w:hAnsi="Arial" w:cs="Arial"/>
          <w:i/>
          <w:sz w:val="20"/>
          <w:szCs w:val="20"/>
        </w:rPr>
        <w:t>Transmission Control Protocol</w:t>
      </w:r>
      <w:r w:rsidRPr="0095353D">
        <w:rPr>
          <w:rFonts w:ascii="Arial" w:hAnsi="Arial" w:cs="Arial"/>
          <w:sz w:val="20"/>
          <w:szCs w:val="20"/>
        </w:rPr>
        <w:t>), docelowy, port UDP/TCP źródłowy lub dowolną kombinację tych parametrów.</w:t>
      </w:r>
    </w:p>
    <w:p w14:paraId="787DB453" w14:textId="77777777" w:rsidR="002C51D8" w:rsidRPr="0095353D" w:rsidRDefault="002C51D8" w:rsidP="00C56CD1">
      <w:pPr>
        <w:pStyle w:val="Akapitzlist"/>
        <w:numPr>
          <w:ilvl w:val="0"/>
          <w:numId w:val="4"/>
        </w:numPr>
        <w:spacing w:after="0"/>
        <w:jc w:val="both"/>
        <w:rPr>
          <w:rFonts w:ascii="Arial" w:hAnsi="Arial" w:cs="Arial"/>
          <w:sz w:val="20"/>
          <w:szCs w:val="20"/>
        </w:rPr>
      </w:pPr>
      <w:r w:rsidRPr="0095353D">
        <w:rPr>
          <w:rFonts w:ascii="Arial" w:hAnsi="Arial" w:cs="Arial"/>
          <w:sz w:val="20"/>
          <w:szCs w:val="20"/>
        </w:rPr>
        <w:t>Możliwości reklasyfikowania (w przypadku wysycenia pasma QoS klasy wyższej, automatycznego reklasyfikowania ruchu do klasy niższej) i oznaczania pakietów IP w oparciu o podane wyżej kryteria na urządzeniu dostępowym Wykonawcy</w:t>
      </w:r>
    </w:p>
    <w:p w14:paraId="097BCEE3" w14:textId="74CD2F90" w:rsidR="002C51D8" w:rsidRPr="0095353D" w:rsidRDefault="002C51D8" w:rsidP="00C56CD1">
      <w:pPr>
        <w:pStyle w:val="Akapitzlist"/>
        <w:numPr>
          <w:ilvl w:val="0"/>
          <w:numId w:val="4"/>
        </w:numPr>
        <w:spacing w:after="0"/>
        <w:jc w:val="both"/>
        <w:rPr>
          <w:rFonts w:ascii="Arial" w:hAnsi="Arial" w:cs="Arial"/>
          <w:sz w:val="20"/>
          <w:szCs w:val="20"/>
        </w:rPr>
      </w:pPr>
      <w:r w:rsidRPr="0095353D">
        <w:rPr>
          <w:rFonts w:ascii="Arial" w:hAnsi="Arial" w:cs="Arial"/>
          <w:sz w:val="20"/>
          <w:szCs w:val="20"/>
        </w:rPr>
        <w:t>Możliwości przyjmowania i przydzielenia do odpowiednich klas QoS przez urządzenie dostępowe Wykonawcy, ruchu IP już sklasyfikowanego i oznaczonego przez Użytkownika na jego urządzeniach lub w jego sieci (mapowanie ustawień IP Precedence i IP DSCP dokonanych przez Użytkownika).</w:t>
      </w:r>
    </w:p>
    <w:p w14:paraId="6DBCA252" w14:textId="77777777" w:rsidR="002C51D8" w:rsidRPr="0095353D" w:rsidRDefault="002C51D8" w:rsidP="00C56CD1">
      <w:pPr>
        <w:pStyle w:val="Akapitzlist"/>
        <w:numPr>
          <w:ilvl w:val="0"/>
          <w:numId w:val="4"/>
        </w:numPr>
        <w:spacing w:after="0"/>
        <w:jc w:val="both"/>
        <w:rPr>
          <w:rFonts w:ascii="Arial" w:hAnsi="Arial" w:cs="Arial"/>
          <w:sz w:val="20"/>
          <w:szCs w:val="20"/>
        </w:rPr>
      </w:pPr>
      <w:r w:rsidRPr="0095353D">
        <w:rPr>
          <w:rFonts w:ascii="Arial" w:hAnsi="Arial" w:cs="Arial"/>
          <w:sz w:val="20"/>
          <w:szCs w:val="20"/>
        </w:rPr>
        <w:t xml:space="preserve">Zapewnienia zaawansowanych mechanizmów QoS umożliwiających hierarchizację ruchu w celu zapewnienia wyższych parametrów dla usługi VoIP.  </w:t>
      </w:r>
    </w:p>
    <w:p w14:paraId="78AC050B" w14:textId="77777777" w:rsidR="002C51D8" w:rsidRPr="0095353D" w:rsidRDefault="002C51D8"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lastRenderedPageBreak/>
        <w:t>Zamawiający wymaga zapewnienia dwóch kategorii SLA dla wskazanych przez Zamawiającego lokalizacji, o wartościach parametrów SLA określonych poniżej. Parametry w każdej z kategorii liczone są oddzielnie dla każdej z lokalizacji Zamawiającego. Zamawiający wprowadza podział lokalizacji na kategorie SLA (A, B) wedł</w:t>
      </w:r>
      <w:r w:rsidR="00F97D9A" w:rsidRPr="0095353D">
        <w:rPr>
          <w:rFonts w:ascii="Arial" w:hAnsi="Arial" w:cs="Arial"/>
          <w:sz w:val="20"/>
          <w:szCs w:val="20"/>
        </w:rPr>
        <w:t>ug parametrów podanych w tabeli1.</w:t>
      </w:r>
    </w:p>
    <w:p w14:paraId="7A4A6E81" w14:textId="77777777" w:rsidR="002C51D8" w:rsidRPr="0095353D" w:rsidRDefault="002C51D8" w:rsidP="00C56CD1">
      <w:pPr>
        <w:spacing w:after="0"/>
        <w:jc w:val="both"/>
        <w:rPr>
          <w:rFonts w:ascii="Arial" w:hAnsi="Arial" w:cs="Arial"/>
          <w:sz w:val="20"/>
          <w:szCs w:val="20"/>
        </w:rPr>
      </w:pPr>
    </w:p>
    <w:p w14:paraId="147E4047" w14:textId="77777777" w:rsidR="002C51D8" w:rsidRPr="0095353D" w:rsidRDefault="002C51D8" w:rsidP="00C56CD1">
      <w:pPr>
        <w:pStyle w:val="Akapitzlist"/>
        <w:spacing w:after="0"/>
        <w:jc w:val="both"/>
        <w:rPr>
          <w:rFonts w:ascii="Arial" w:hAnsi="Arial" w:cs="Arial"/>
          <w:b/>
          <w:sz w:val="20"/>
          <w:szCs w:val="20"/>
        </w:rPr>
      </w:pPr>
      <w:r w:rsidRPr="0095353D">
        <w:rPr>
          <w:rFonts w:ascii="Arial" w:hAnsi="Arial" w:cs="Arial"/>
          <w:b/>
          <w:sz w:val="20"/>
          <w:szCs w:val="20"/>
        </w:rPr>
        <w:t>Tabela 1. Parametry SLA</w:t>
      </w:r>
    </w:p>
    <w:tbl>
      <w:tblPr>
        <w:tblW w:w="71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1"/>
        <w:gridCol w:w="1542"/>
        <w:gridCol w:w="1662"/>
      </w:tblGrid>
      <w:tr w:rsidR="0095353D" w:rsidRPr="0095353D" w14:paraId="771699B7" w14:textId="77777777" w:rsidTr="002C51D8">
        <w:tc>
          <w:tcPr>
            <w:tcW w:w="4066" w:type="dxa"/>
            <w:tcBorders>
              <w:top w:val="single" w:sz="4" w:space="0" w:color="000000"/>
              <w:left w:val="single" w:sz="4" w:space="0" w:color="000000"/>
              <w:bottom w:val="single" w:sz="4" w:space="0" w:color="000000"/>
              <w:right w:val="single" w:sz="4" w:space="0" w:color="000000"/>
            </w:tcBorders>
            <w:hideMark/>
          </w:tcPr>
          <w:p w14:paraId="4A74AF8C" w14:textId="77777777" w:rsidR="002C51D8" w:rsidRPr="0095353D" w:rsidRDefault="002C51D8" w:rsidP="00C56CD1">
            <w:pPr>
              <w:pStyle w:val="Akapitzlist"/>
              <w:spacing w:after="0"/>
              <w:ind w:left="0"/>
              <w:jc w:val="both"/>
              <w:rPr>
                <w:rFonts w:ascii="Arial" w:hAnsi="Arial" w:cs="Arial"/>
                <w:sz w:val="20"/>
                <w:szCs w:val="20"/>
              </w:rPr>
            </w:pPr>
            <w:r w:rsidRPr="0095353D">
              <w:rPr>
                <w:rFonts w:ascii="Arial" w:hAnsi="Arial" w:cs="Arial"/>
                <w:sz w:val="20"/>
                <w:szCs w:val="20"/>
              </w:rPr>
              <w:t>Parametry SLA</w:t>
            </w:r>
          </w:p>
        </w:tc>
        <w:tc>
          <w:tcPr>
            <w:tcW w:w="1559" w:type="dxa"/>
            <w:tcBorders>
              <w:top w:val="single" w:sz="4" w:space="0" w:color="000000"/>
              <w:left w:val="single" w:sz="4" w:space="0" w:color="000000"/>
              <w:bottom w:val="single" w:sz="4" w:space="0" w:color="000000"/>
              <w:right w:val="single" w:sz="4" w:space="0" w:color="000000"/>
            </w:tcBorders>
            <w:hideMark/>
          </w:tcPr>
          <w:p w14:paraId="797F59D5" w14:textId="418348E7" w:rsidR="002C51D8" w:rsidRPr="0095353D" w:rsidRDefault="002C51D8" w:rsidP="00247907">
            <w:pPr>
              <w:pStyle w:val="Akapitzlist"/>
              <w:spacing w:after="0"/>
              <w:ind w:left="0"/>
              <w:jc w:val="both"/>
              <w:rPr>
                <w:rFonts w:ascii="Arial" w:hAnsi="Arial" w:cs="Arial"/>
                <w:sz w:val="20"/>
                <w:szCs w:val="20"/>
              </w:rPr>
            </w:pPr>
            <w:r w:rsidRPr="0095353D">
              <w:rPr>
                <w:rFonts w:ascii="Arial" w:hAnsi="Arial" w:cs="Arial"/>
                <w:sz w:val="20"/>
                <w:szCs w:val="20"/>
              </w:rPr>
              <w:t>Kategoria A</w:t>
            </w:r>
            <w:r w:rsidR="000E7D16" w:rsidRPr="0095353D">
              <w:rPr>
                <w:rFonts w:ascii="Arial" w:hAnsi="Arial" w:cs="Arial"/>
                <w:sz w:val="20"/>
                <w:szCs w:val="20"/>
              </w:rPr>
              <w:t xml:space="preserve"> </w:t>
            </w:r>
            <w:r w:rsidR="00247907">
              <w:rPr>
                <w:rFonts w:ascii="Arial" w:hAnsi="Arial" w:cs="Arial"/>
                <w:sz w:val="20"/>
                <w:szCs w:val="20"/>
              </w:rPr>
              <w:t>dla lokalizacji</w:t>
            </w:r>
            <w:r w:rsidR="000E7D16" w:rsidRPr="0095353D">
              <w:rPr>
                <w:rFonts w:ascii="Arial" w:hAnsi="Arial" w:cs="Arial"/>
                <w:sz w:val="20"/>
                <w:szCs w:val="20"/>
              </w:rPr>
              <w:t xml:space="preserve"> A0, A1, A2, A3, A4, A5</w:t>
            </w:r>
          </w:p>
        </w:tc>
        <w:tc>
          <w:tcPr>
            <w:tcW w:w="1560" w:type="dxa"/>
            <w:tcBorders>
              <w:top w:val="single" w:sz="4" w:space="0" w:color="000000"/>
              <w:left w:val="single" w:sz="4" w:space="0" w:color="000000"/>
              <w:bottom w:val="single" w:sz="4" w:space="0" w:color="000000"/>
              <w:right w:val="single" w:sz="4" w:space="0" w:color="000000"/>
            </w:tcBorders>
            <w:hideMark/>
          </w:tcPr>
          <w:p w14:paraId="25A647A0" w14:textId="57F7451A" w:rsidR="002C51D8" w:rsidRPr="0095353D" w:rsidRDefault="002C51D8" w:rsidP="00247907">
            <w:pPr>
              <w:pStyle w:val="Akapitzlist"/>
              <w:spacing w:after="0"/>
              <w:ind w:left="0"/>
              <w:jc w:val="both"/>
              <w:rPr>
                <w:rFonts w:ascii="Arial" w:hAnsi="Arial" w:cs="Arial"/>
                <w:sz w:val="20"/>
                <w:szCs w:val="20"/>
              </w:rPr>
            </w:pPr>
            <w:r w:rsidRPr="0095353D">
              <w:rPr>
                <w:rFonts w:ascii="Arial" w:hAnsi="Arial" w:cs="Arial"/>
                <w:sz w:val="20"/>
                <w:szCs w:val="20"/>
              </w:rPr>
              <w:t>Kategoria B</w:t>
            </w:r>
            <w:r w:rsidR="000E7D16" w:rsidRPr="0095353D">
              <w:rPr>
                <w:rFonts w:ascii="Arial" w:hAnsi="Arial" w:cs="Arial"/>
                <w:sz w:val="20"/>
                <w:szCs w:val="20"/>
              </w:rPr>
              <w:t xml:space="preserve"> </w:t>
            </w:r>
            <w:r w:rsidR="00247907">
              <w:rPr>
                <w:rFonts w:ascii="Arial" w:hAnsi="Arial" w:cs="Arial"/>
                <w:sz w:val="20"/>
                <w:szCs w:val="20"/>
              </w:rPr>
              <w:t xml:space="preserve">dla lokalizacji </w:t>
            </w:r>
            <w:r w:rsidR="000E7D16" w:rsidRPr="0095353D">
              <w:rPr>
                <w:rFonts w:ascii="Arial" w:hAnsi="Arial" w:cs="Arial"/>
                <w:sz w:val="20"/>
                <w:szCs w:val="20"/>
              </w:rPr>
              <w:t xml:space="preserve">B1,B2,B3,B4,B5 </w:t>
            </w:r>
          </w:p>
        </w:tc>
      </w:tr>
      <w:tr w:rsidR="0095353D" w:rsidRPr="0095353D" w14:paraId="26269386" w14:textId="77777777" w:rsidTr="002C51D8">
        <w:tc>
          <w:tcPr>
            <w:tcW w:w="4066" w:type="dxa"/>
            <w:tcBorders>
              <w:top w:val="single" w:sz="4" w:space="0" w:color="000000"/>
              <w:left w:val="single" w:sz="4" w:space="0" w:color="000000"/>
              <w:bottom w:val="single" w:sz="4" w:space="0" w:color="000000"/>
              <w:right w:val="single" w:sz="4" w:space="0" w:color="000000"/>
            </w:tcBorders>
            <w:hideMark/>
          </w:tcPr>
          <w:p w14:paraId="39140475" w14:textId="77777777" w:rsidR="002C51D8" w:rsidRPr="0095353D" w:rsidRDefault="002C51D8" w:rsidP="00C56CD1">
            <w:pPr>
              <w:pStyle w:val="Akapitzlist"/>
              <w:spacing w:after="0"/>
              <w:ind w:left="0"/>
              <w:jc w:val="both"/>
              <w:rPr>
                <w:rFonts w:ascii="Arial" w:hAnsi="Arial" w:cs="Arial"/>
                <w:sz w:val="20"/>
                <w:szCs w:val="20"/>
              </w:rPr>
            </w:pPr>
            <w:r w:rsidRPr="0095353D">
              <w:rPr>
                <w:rFonts w:ascii="Arial" w:hAnsi="Arial" w:cs="Arial"/>
                <w:sz w:val="20"/>
                <w:szCs w:val="20"/>
              </w:rPr>
              <w:t xml:space="preserve">Dopuszczalny łączny czas niedostępności usługi w ciągu roku kalendarzowego świadczenia Usługi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FFBC376" w14:textId="77777777" w:rsidR="002C51D8" w:rsidRPr="0095353D" w:rsidRDefault="002C51D8" w:rsidP="00C56CD1">
            <w:pPr>
              <w:pStyle w:val="Akapitzlist"/>
              <w:spacing w:after="0"/>
              <w:ind w:left="0"/>
              <w:jc w:val="center"/>
              <w:rPr>
                <w:rFonts w:ascii="Arial" w:hAnsi="Arial" w:cs="Arial"/>
                <w:sz w:val="20"/>
                <w:szCs w:val="20"/>
              </w:rPr>
            </w:pPr>
            <w:r w:rsidRPr="0095353D">
              <w:rPr>
                <w:rFonts w:ascii="Arial" w:hAnsi="Arial" w:cs="Arial"/>
                <w:sz w:val="20"/>
                <w:szCs w:val="20"/>
              </w:rPr>
              <w:t>99,90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886603C" w14:textId="77777777" w:rsidR="002C51D8" w:rsidRPr="0095353D" w:rsidRDefault="002C51D8" w:rsidP="00C56CD1">
            <w:pPr>
              <w:pStyle w:val="Akapitzlist"/>
              <w:spacing w:after="0"/>
              <w:ind w:left="0"/>
              <w:jc w:val="center"/>
              <w:rPr>
                <w:rFonts w:ascii="Arial" w:hAnsi="Arial" w:cs="Arial"/>
                <w:sz w:val="20"/>
                <w:szCs w:val="20"/>
              </w:rPr>
            </w:pPr>
            <w:r w:rsidRPr="0095353D">
              <w:rPr>
                <w:rFonts w:ascii="Arial" w:hAnsi="Arial" w:cs="Arial"/>
                <w:sz w:val="20"/>
                <w:szCs w:val="20"/>
              </w:rPr>
              <w:t>99,50</w:t>
            </w:r>
          </w:p>
        </w:tc>
      </w:tr>
      <w:tr w:rsidR="002C51D8" w:rsidRPr="0095353D" w14:paraId="6CDD5010" w14:textId="77777777" w:rsidTr="002C51D8">
        <w:tc>
          <w:tcPr>
            <w:tcW w:w="4066" w:type="dxa"/>
            <w:tcBorders>
              <w:top w:val="single" w:sz="4" w:space="0" w:color="000000"/>
              <w:left w:val="single" w:sz="4" w:space="0" w:color="000000"/>
              <w:bottom w:val="single" w:sz="4" w:space="0" w:color="000000"/>
              <w:right w:val="single" w:sz="4" w:space="0" w:color="000000"/>
            </w:tcBorders>
            <w:hideMark/>
          </w:tcPr>
          <w:p w14:paraId="30F63839" w14:textId="77777777" w:rsidR="002C51D8" w:rsidRPr="0095353D" w:rsidRDefault="002C51D8" w:rsidP="00C56CD1">
            <w:pPr>
              <w:pStyle w:val="Akapitzlist"/>
              <w:spacing w:after="0"/>
              <w:ind w:left="0"/>
              <w:jc w:val="both"/>
              <w:rPr>
                <w:rFonts w:ascii="Arial" w:hAnsi="Arial" w:cs="Arial"/>
                <w:sz w:val="20"/>
                <w:szCs w:val="20"/>
              </w:rPr>
            </w:pPr>
            <w:r w:rsidRPr="0095353D">
              <w:rPr>
                <w:rFonts w:ascii="Arial" w:hAnsi="Arial" w:cs="Arial"/>
                <w:sz w:val="20"/>
                <w:szCs w:val="20"/>
              </w:rPr>
              <w:t>Dopuszczalny czas usunięcia pojedynczej awarii [godz.]</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0D7B38D" w14:textId="77777777" w:rsidR="002C51D8" w:rsidRPr="0095353D" w:rsidRDefault="002C51D8" w:rsidP="00C56CD1">
            <w:pPr>
              <w:pStyle w:val="Akapitzlist"/>
              <w:spacing w:after="0"/>
              <w:ind w:left="0"/>
              <w:jc w:val="center"/>
              <w:rPr>
                <w:rFonts w:ascii="Arial" w:hAnsi="Arial" w:cs="Arial"/>
                <w:sz w:val="20"/>
                <w:szCs w:val="20"/>
              </w:rPr>
            </w:pPr>
            <w:r w:rsidRPr="0095353D">
              <w:rPr>
                <w:rFonts w:ascii="Arial" w:hAnsi="Arial" w:cs="Arial"/>
                <w:sz w:val="20"/>
                <w:szCs w:val="20"/>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E10280D" w14:textId="77777777" w:rsidR="002C51D8" w:rsidRPr="0095353D" w:rsidRDefault="002C51D8" w:rsidP="00C56CD1">
            <w:pPr>
              <w:pStyle w:val="Akapitzlist"/>
              <w:spacing w:after="0"/>
              <w:ind w:left="0"/>
              <w:jc w:val="center"/>
              <w:rPr>
                <w:rFonts w:ascii="Arial" w:hAnsi="Arial" w:cs="Arial"/>
                <w:sz w:val="20"/>
                <w:szCs w:val="20"/>
              </w:rPr>
            </w:pPr>
            <w:r w:rsidRPr="0095353D">
              <w:rPr>
                <w:rFonts w:ascii="Arial" w:hAnsi="Arial" w:cs="Arial"/>
                <w:sz w:val="20"/>
                <w:szCs w:val="20"/>
              </w:rPr>
              <w:t>8</w:t>
            </w:r>
          </w:p>
        </w:tc>
      </w:tr>
    </w:tbl>
    <w:p w14:paraId="015571C0" w14:textId="77777777" w:rsidR="002C51D8" w:rsidRPr="0095353D" w:rsidRDefault="002C51D8" w:rsidP="00C56CD1">
      <w:pPr>
        <w:pStyle w:val="Akapitzlist"/>
        <w:spacing w:after="0"/>
        <w:jc w:val="both"/>
        <w:rPr>
          <w:rFonts w:ascii="Arial" w:hAnsi="Arial" w:cs="Arial"/>
          <w:sz w:val="20"/>
          <w:szCs w:val="20"/>
        </w:rPr>
      </w:pPr>
    </w:p>
    <w:p w14:paraId="26D4E163" w14:textId="42D3E8B3" w:rsidR="007261A2" w:rsidRPr="0095353D" w:rsidRDefault="002C51D8" w:rsidP="00C56CD1">
      <w:pPr>
        <w:pStyle w:val="Akapitzlist"/>
        <w:numPr>
          <w:ilvl w:val="0"/>
          <w:numId w:val="2"/>
        </w:numPr>
        <w:spacing w:after="0"/>
        <w:jc w:val="both"/>
        <w:rPr>
          <w:rFonts w:ascii="Arial" w:hAnsi="Arial" w:cs="Arial"/>
          <w:sz w:val="20"/>
          <w:szCs w:val="20"/>
        </w:rPr>
      </w:pPr>
      <w:r w:rsidRPr="0095353D">
        <w:rPr>
          <w:rFonts w:ascii="Arial" w:hAnsi="Arial" w:cs="Arial"/>
          <w:sz w:val="20"/>
          <w:szCs w:val="20"/>
        </w:rPr>
        <w:t xml:space="preserve">Wykonawca zobowiązuje się do zapewnienia przez cały okres świadczenia </w:t>
      </w:r>
      <w:r w:rsidRPr="00C56CD1">
        <w:rPr>
          <w:rFonts w:ascii="Arial" w:hAnsi="Arial" w:cs="Arial"/>
          <w:sz w:val="20"/>
          <w:szCs w:val="20"/>
        </w:rPr>
        <w:t>Usługi</w:t>
      </w:r>
      <w:r w:rsidRPr="0095353D">
        <w:rPr>
          <w:rFonts w:ascii="Arial" w:hAnsi="Arial" w:cs="Arial"/>
          <w:sz w:val="20"/>
          <w:szCs w:val="20"/>
        </w:rPr>
        <w:t xml:space="preserve"> redundancji urządzeń dostępowych oraz łączy dla lokalizacji o kategorii SLA - A. W przypadku zapewnienia pełnej redundancji, świadczenie Usługi na łączach zapasowych, przy spełnieniu wszystkich parametrów SLA kategorii A, nie będzie traktowane jako niedostępność.</w:t>
      </w:r>
    </w:p>
    <w:p w14:paraId="525268DD" w14:textId="77777777" w:rsidR="002C51D8" w:rsidRPr="0095353D" w:rsidRDefault="002C51D8" w:rsidP="00C56CD1">
      <w:pPr>
        <w:pStyle w:val="Tekstpodstawowywcity"/>
        <w:numPr>
          <w:ilvl w:val="0"/>
          <w:numId w:val="2"/>
        </w:numPr>
        <w:spacing w:after="0" w:line="276" w:lineRule="auto"/>
        <w:rPr>
          <w:rFonts w:ascii="Arial" w:hAnsi="Arial" w:cs="Arial"/>
          <w:sz w:val="20"/>
          <w:szCs w:val="20"/>
        </w:rPr>
      </w:pPr>
      <w:r w:rsidRPr="0095353D">
        <w:rPr>
          <w:rFonts w:ascii="Arial" w:hAnsi="Arial" w:cs="Arial"/>
          <w:sz w:val="20"/>
          <w:szCs w:val="20"/>
        </w:rPr>
        <w:t>Zamawiający wymaga zapewnienie następujących parametrów sieci:</w:t>
      </w:r>
    </w:p>
    <w:p w14:paraId="3E8DDAA6" w14:textId="07FA1D5C" w:rsidR="002C51D8" w:rsidRPr="0095353D" w:rsidRDefault="002C51D8" w:rsidP="00C56CD1">
      <w:pPr>
        <w:pStyle w:val="Tekstpodstawowyzwciciem"/>
        <w:numPr>
          <w:ilvl w:val="0"/>
          <w:numId w:val="6"/>
        </w:numPr>
        <w:tabs>
          <w:tab w:val="clear" w:pos="720"/>
        </w:tabs>
        <w:spacing w:after="0" w:line="276" w:lineRule="auto"/>
        <w:ind w:left="1134" w:hanging="425"/>
        <w:rPr>
          <w:sz w:val="20"/>
          <w:szCs w:val="20"/>
        </w:rPr>
      </w:pPr>
      <w:r w:rsidRPr="0095353D">
        <w:rPr>
          <w:sz w:val="20"/>
          <w:szCs w:val="20"/>
        </w:rPr>
        <w:t>Maksymalne łą</w:t>
      </w:r>
      <w:r w:rsidR="00C72B09" w:rsidRPr="0095353D">
        <w:rPr>
          <w:sz w:val="20"/>
          <w:szCs w:val="20"/>
        </w:rPr>
        <w:t>czne opóźnienie 15</w:t>
      </w:r>
      <w:r w:rsidRPr="0095353D">
        <w:rPr>
          <w:sz w:val="20"/>
          <w:szCs w:val="20"/>
        </w:rPr>
        <w:t>ms pomiędzy dowolnymi węzłami (abonentami) w sieci</w:t>
      </w:r>
    </w:p>
    <w:p w14:paraId="6309EF83" w14:textId="19C52F78" w:rsidR="002C51D8" w:rsidRPr="0095353D" w:rsidRDefault="002C51D8" w:rsidP="00C56CD1">
      <w:pPr>
        <w:pStyle w:val="Tekstpodstawowyzwciciem"/>
        <w:numPr>
          <w:ilvl w:val="0"/>
          <w:numId w:val="6"/>
        </w:numPr>
        <w:tabs>
          <w:tab w:val="clear" w:pos="720"/>
        </w:tabs>
        <w:spacing w:after="0" w:line="276" w:lineRule="auto"/>
        <w:ind w:left="1134" w:hanging="425"/>
        <w:rPr>
          <w:sz w:val="20"/>
          <w:szCs w:val="20"/>
        </w:rPr>
      </w:pPr>
      <w:r w:rsidRPr="0095353D">
        <w:rPr>
          <w:sz w:val="20"/>
          <w:szCs w:val="20"/>
        </w:rPr>
        <w:t>Maksymal</w:t>
      </w:r>
      <w:r w:rsidR="00C72B09" w:rsidRPr="0095353D">
        <w:rPr>
          <w:sz w:val="20"/>
          <w:szCs w:val="20"/>
        </w:rPr>
        <w:t xml:space="preserve">na zmiana opóźnienia (jitter) </w:t>
      </w:r>
      <w:r w:rsidR="008F45B0">
        <w:rPr>
          <w:sz w:val="20"/>
          <w:szCs w:val="20"/>
        </w:rPr>
        <w:t>5</w:t>
      </w:r>
      <w:bookmarkStart w:id="0" w:name="_GoBack"/>
      <w:bookmarkEnd w:id="0"/>
      <w:r w:rsidRPr="0095353D">
        <w:rPr>
          <w:sz w:val="20"/>
          <w:szCs w:val="20"/>
        </w:rPr>
        <w:t xml:space="preserve">ms pomiędzy dowolnymi węzłami (abonentami) w sieci. </w:t>
      </w:r>
    </w:p>
    <w:p w14:paraId="0F36734C" w14:textId="4937AA14" w:rsidR="002C51D8" w:rsidRPr="0095353D" w:rsidRDefault="002C51D8" w:rsidP="00C56CD1">
      <w:pPr>
        <w:pStyle w:val="Tekstpodstawowyzwciciem"/>
        <w:numPr>
          <w:ilvl w:val="0"/>
          <w:numId w:val="6"/>
        </w:numPr>
        <w:tabs>
          <w:tab w:val="clear" w:pos="720"/>
        </w:tabs>
        <w:spacing w:after="0" w:line="276" w:lineRule="auto"/>
        <w:ind w:left="1134" w:hanging="425"/>
        <w:rPr>
          <w:sz w:val="20"/>
          <w:szCs w:val="20"/>
        </w:rPr>
      </w:pPr>
      <w:r w:rsidRPr="0095353D">
        <w:rPr>
          <w:sz w:val="20"/>
          <w:szCs w:val="20"/>
        </w:rPr>
        <w:t>Maksymalna strata pakietów na poziomie 1%</w:t>
      </w:r>
      <w:r w:rsidR="00BA00A1">
        <w:rPr>
          <w:sz w:val="20"/>
          <w:szCs w:val="20"/>
        </w:rPr>
        <w:t>.</w:t>
      </w:r>
    </w:p>
    <w:p w14:paraId="7716820C" w14:textId="77777777" w:rsidR="002C51D8" w:rsidRPr="0095353D" w:rsidRDefault="002C51D8" w:rsidP="00C56CD1">
      <w:pPr>
        <w:pStyle w:val="Tekstpodstawowyzwciciem"/>
        <w:numPr>
          <w:ilvl w:val="0"/>
          <w:numId w:val="0"/>
        </w:numPr>
        <w:spacing w:after="0" w:line="276" w:lineRule="auto"/>
        <w:ind w:left="720"/>
        <w:rPr>
          <w:sz w:val="20"/>
          <w:szCs w:val="20"/>
        </w:rPr>
      </w:pPr>
    </w:p>
    <w:p w14:paraId="30A55A71" w14:textId="77777777" w:rsidR="002C51D8" w:rsidRPr="0095353D" w:rsidRDefault="002C51D8" w:rsidP="00C56CD1">
      <w:pPr>
        <w:spacing w:after="0"/>
        <w:rPr>
          <w:rFonts w:ascii="Arial" w:hAnsi="Arial" w:cs="Arial"/>
          <w:sz w:val="20"/>
          <w:szCs w:val="20"/>
        </w:rPr>
      </w:pPr>
    </w:p>
    <w:sectPr w:rsidR="002C51D8" w:rsidRPr="0095353D" w:rsidSect="002C51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A8D06" w14:textId="77777777" w:rsidR="00720B1B" w:rsidRDefault="00720B1B" w:rsidP="005C28DA">
      <w:pPr>
        <w:spacing w:after="0" w:line="240" w:lineRule="auto"/>
      </w:pPr>
      <w:r>
        <w:separator/>
      </w:r>
    </w:p>
  </w:endnote>
  <w:endnote w:type="continuationSeparator" w:id="0">
    <w:p w14:paraId="10A2003A" w14:textId="77777777" w:rsidR="00720B1B" w:rsidRDefault="00720B1B" w:rsidP="005C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63917"/>
      <w:docPartObj>
        <w:docPartGallery w:val="Page Numbers (Bottom of Page)"/>
        <w:docPartUnique/>
      </w:docPartObj>
    </w:sdtPr>
    <w:sdtEndPr/>
    <w:sdtContent>
      <w:sdt>
        <w:sdtPr>
          <w:id w:val="-1769616900"/>
          <w:docPartObj>
            <w:docPartGallery w:val="Page Numbers (Top of Page)"/>
            <w:docPartUnique/>
          </w:docPartObj>
        </w:sdtPr>
        <w:sdtEndPr/>
        <w:sdtContent>
          <w:p w14:paraId="175736F0" w14:textId="56AA3EAF" w:rsidR="0095353D" w:rsidRDefault="0095353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F45B0">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F45B0">
              <w:rPr>
                <w:b/>
                <w:bCs/>
                <w:noProof/>
              </w:rPr>
              <w:t>4</w:t>
            </w:r>
            <w:r>
              <w:rPr>
                <w:b/>
                <w:bCs/>
                <w:sz w:val="24"/>
                <w:szCs w:val="24"/>
              </w:rPr>
              <w:fldChar w:fldCharType="end"/>
            </w:r>
          </w:p>
        </w:sdtContent>
      </w:sdt>
    </w:sdtContent>
  </w:sdt>
  <w:p w14:paraId="27B1551F" w14:textId="77777777" w:rsidR="002C51D8" w:rsidRDefault="002C51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A2BE" w14:textId="77777777" w:rsidR="00720B1B" w:rsidRDefault="00720B1B" w:rsidP="005C28DA">
      <w:pPr>
        <w:spacing w:after="0" w:line="240" w:lineRule="auto"/>
      </w:pPr>
      <w:r>
        <w:separator/>
      </w:r>
    </w:p>
  </w:footnote>
  <w:footnote w:type="continuationSeparator" w:id="0">
    <w:p w14:paraId="0FE49914" w14:textId="77777777" w:rsidR="00720B1B" w:rsidRDefault="00720B1B" w:rsidP="005C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300A" w14:textId="77777777" w:rsidR="002C51D8" w:rsidRDefault="002C51D8" w:rsidP="005C28DA">
    <w:pPr>
      <w:pStyle w:val="Nagwek"/>
      <w:jc w:val="right"/>
    </w:pPr>
    <w:r>
      <w:t>Załącznik nr 1 do SIWZ</w:t>
    </w:r>
  </w:p>
  <w:p w14:paraId="40BBC62D" w14:textId="0E71E94F" w:rsidR="002C51D8" w:rsidRDefault="005552EB" w:rsidP="005C28DA">
    <w:pPr>
      <w:pStyle w:val="Nagwek"/>
      <w:jc w:val="right"/>
    </w:pPr>
    <w:r>
      <w:t>Znak Sprawy: LP</w:t>
    </w:r>
    <w:r w:rsidR="002C51D8">
      <w:t>-281-</w:t>
    </w:r>
    <w:r w:rsidR="0095353D">
      <w:t>183</w:t>
    </w:r>
    <w:r w:rsidR="002C51D8">
      <w:t>/18</w:t>
    </w:r>
  </w:p>
  <w:p w14:paraId="7EAE7E51" w14:textId="77777777" w:rsidR="002C51D8" w:rsidRDefault="002C51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53B"/>
    <w:multiLevelType w:val="hybridMultilevel"/>
    <w:tmpl w:val="C82CFD72"/>
    <w:lvl w:ilvl="0" w:tplc="3536C75C">
      <w:start w:val="1"/>
      <w:numFmt w:val="lowerLetter"/>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50D4674"/>
    <w:multiLevelType w:val="hybridMultilevel"/>
    <w:tmpl w:val="C27E106A"/>
    <w:lvl w:ilvl="0" w:tplc="F904C84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4DC5114"/>
    <w:multiLevelType w:val="hybridMultilevel"/>
    <w:tmpl w:val="49C8F504"/>
    <w:lvl w:ilvl="0" w:tplc="BFF0E98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8FF7C74"/>
    <w:multiLevelType w:val="hybridMultilevel"/>
    <w:tmpl w:val="A2F28936"/>
    <w:lvl w:ilvl="0" w:tplc="69381E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97AC9"/>
    <w:multiLevelType w:val="hybridMultilevel"/>
    <w:tmpl w:val="506CCB5E"/>
    <w:lvl w:ilvl="0" w:tplc="5BD0D0E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BC95647"/>
    <w:multiLevelType w:val="hybridMultilevel"/>
    <w:tmpl w:val="BB3448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DCB5A1B"/>
    <w:multiLevelType w:val="hybridMultilevel"/>
    <w:tmpl w:val="2DC089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430C6FB8"/>
    <w:multiLevelType w:val="hybridMultilevel"/>
    <w:tmpl w:val="4B8A445A"/>
    <w:lvl w:ilvl="0" w:tplc="94EEF792">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5F2043"/>
    <w:multiLevelType w:val="hybridMultilevel"/>
    <w:tmpl w:val="C82CFD72"/>
    <w:lvl w:ilvl="0" w:tplc="3536C75C">
      <w:start w:val="1"/>
      <w:numFmt w:val="lowerLetter"/>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02D19FB"/>
    <w:multiLevelType w:val="hybridMultilevel"/>
    <w:tmpl w:val="E4B81DDC"/>
    <w:lvl w:ilvl="0" w:tplc="EDDEFE7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28F31C0"/>
    <w:multiLevelType w:val="multilevel"/>
    <w:tmpl w:val="951E4D5A"/>
    <w:lvl w:ilvl="0">
      <w:start w:val="1"/>
      <w:numFmt w:val="bullet"/>
      <w:pStyle w:val="Tekstpodstawowyzwciciem"/>
      <w:lvlText w:val=""/>
      <w:lvlJc w:val="left"/>
      <w:pPr>
        <w:tabs>
          <w:tab w:val="num" w:pos="1290"/>
        </w:tabs>
        <w:ind w:left="1290" w:hanging="360"/>
      </w:pPr>
      <w:rPr>
        <w:rFonts w:ascii="Webdings" w:hAnsi="Webdings" w:hint="default"/>
        <w:color w:val="CC0000"/>
      </w:rPr>
    </w:lvl>
    <w:lvl w:ilvl="1">
      <w:start w:val="1"/>
      <w:numFmt w:val="bullet"/>
      <w:lvlText w:val=""/>
      <w:lvlJc w:val="left"/>
      <w:pPr>
        <w:tabs>
          <w:tab w:val="num" w:pos="1968"/>
        </w:tabs>
        <w:ind w:left="2591" w:hanging="963"/>
      </w:pPr>
      <w:rPr>
        <w:rFonts w:ascii="Symbol" w:hAnsi="Symbol" w:hint="default"/>
        <w:b/>
        <w:bCs/>
        <w:color w:val="FF0000"/>
      </w:rPr>
    </w:lvl>
    <w:lvl w:ilvl="2">
      <w:start w:val="1"/>
      <w:numFmt w:val="bullet"/>
      <w:lvlText w:val=""/>
      <w:lvlJc w:val="left"/>
      <w:pPr>
        <w:tabs>
          <w:tab w:val="num" w:pos="3090"/>
        </w:tabs>
        <w:ind w:left="3090" w:hanging="360"/>
      </w:pPr>
      <w:rPr>
        <w:rFonts w:ascii="Wingdings" w:hAnsi="Wingdings" w:hint="default"/>
      </w:rPr>
    </w:lvl>
    <w:lvl w:ilvl="3">
      <w:start w:val="1"/>
      <w:numFmt w:val="bullet"/>
      <w:lvlText w:val=""/>
      <w:lvlJc w:val="left"/>
      <w:pPr>
        <w:tabs>
          <w:tab w:val="num" w:pos="3810"/>
        </w:tabs>
        <w:ind w:left="3810" w:hanging="360"/>
      </w:pPr>
      <w:rPr>
        <w:rFonts w:ascii="Symbol" w:hAnsi="Symbol" w:hint="default"/>
      </w:rPr>
    </w:lvl>
    <w:lvl w:ilvl="4">
      <w:start w:val="1"/>
      <w:numFmt w:val="bullet"/>
      <w:lvlText w:val="o"/>
      <w:lvlJc w:val="left"/>
      <w:pPr>
        <w:tabs>
          <w:tab w:val="num" w:pos="4530"/>
        </w:tabs>
        <w:ind w:left="4530" w:hanging="360"/>
      </w:pPr>
      <w:rPr>
        <w:rFonts w:ascii="Courier New" w:hAnsi="Courier New" w:cs="Courier New" w:hint="default"/>
      </w:rPr>
    </w:lvl>
    <w:lvl w:ilvl="5">
      <w:start w:val="1"/>
      <w:numFmt w:val="bullet"/>
      <w:lvlText w:val=""/>
      <w:lvlJc w:val="left"/>
      <w:pPr>
        <w:tabs>
          <w:tab w:val="num" w:pos="5250"/>
        </w:tabs>
        <w:ind w:left="5250" w:hanging="360"/>
      </w:pPr>
      <w:rPr>
        <w:rFonts w:ascii="Wingdings" w:hAnsi="Wingdings" w:hint="default"/>
      </w:rPr>
    </w:lvl>
    <w:lvl w:ilvl="6">
      <w:start w:val="1"/>
      <w:numFmt w:val="bullet"/>
      <w:lvlText w:val=""/>
      <w:lvlJc w:val="left"/>
      <w:pPr>
        <w:tabs>
          <w:tab w:val="num" w:pos="5970"/>
        </w:tabs>
        <w:ind w:left="5970" w:hanging="360"/>
      </w:pPr>
      <w:rPr>
        <w:rFonts w:ascii="Symbol" w:hAnsi="Symbol" w:hint="default"/>
      </w:rPr>
    </w:lvl>
    <w:lvl w:ilvl="7">
      <w:start w:val="1"/>
      <w:numFmt w:val="bullet"/>
      <w:lvlText w:val="o"/>
      <w:lvlJc w:val="left"/>
      <w:pPr>
        <w:tabs>
          <w:tab w:val="num" w:pos="6690"/>
        </w:tabs>
        <w:ind w:left="6690" w:hanging="360"/>
      </w:pPr>
      <w:rPr>
        <w:rFonts w:ascii="Courier New" w:hAnsi="Courier New" w:cs="Courier New" w:hint="default"/>
      </w:rPr>
    </w:lvl>
    <w:lvl w:ilvl="8">
      <w:start w:val="1"/>
      <w:numFmt w:val="bullet"/>
      <w:lvlText w:val=""/>
      <w:lvlJc w:val="left"/>
      <w:pPr>
        <w:tabs>
          <w:tab w:val="num" w:pos="7410"/>
        </w:tabs>
        <w:ind w:left="7410" w:hanging="360"/>
      </w:pPr>
      <w:rPr>
        <w:rFonts w:ascii="Wingdings" w:hAnsi="Wingdings" w:hint="default"/>
      </w:rPr>
    </w:lvl>
  </w:abstractNum>
  <w:abstractNum w:abstractNumId="11" w15:restartNumberingAfterBreak="0">
    <w:nsid w:val="7D20086C"/>
    <w:multiLevelType w:val="hybridMultilevel"/>
    <w:tmpl w:val="F9A0F79C"/>
    <w:lvl w:ilvl="0" w:tplc="22C68A4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D561E97"/>
    <w:multiLevelType w:val="hybridMultilevel"/>
    <w:tmpl w:val="4104C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DA"/>
    <w:rsid w:val="000246D0"/>
    <w:rsid w:val="00085400"/>
    <w:rsid w:val="000B04CB"/>
    <w:rsid w:val="000E7D16"/>
    <w:rsid w:val="00114ED2"/>
    <w:rsid w:val="00134D18"/>
    <w:rsid w:val="00167310"/>
    <w:rsid w:val="001832D6"/>
    <w:rsid w:val="00193F18"/>
    <w:rsid w:val="00247907"/>
    <w:rsid w:val="002721C3"/>
    <w:rsid w:val="002764BF"/>
    <w:rsid w:val="002C51D8"/>
    <w:rsid w:val="00354D5C"/>
    <w:rsid w:val="003756B2"/>
    <w:rsid w:val="003E1604"/>
    <w:rsid w:val="003E58E8"/>
    <w:rsid w:val="00422EC7"/>
    <w:rsid w:val="004A3A66"/>
    <w:rsid w:val="004F1B90"/>
    <w:rsid w:val="005552EB"/>
    <w:rsid w:val="00563AE0"/>
    <w:rsid w:val="00592EB5"/>
    <w:rsid w:val="005B6BB5"/>
    <w:rsid w:val="005C28DA"/>
    <w:rsid w:val="005C4BA7"/>
    <w:rsid w:val="0062685B"/>
    <w:rsid w:val="00720B1B"/>
    <w:rsid w:val="007261A2"/>
    <w:rsid w:val="00890B53"/>
    <w:rsid w:val="008F45B0"/>
    <w:rsid w:val="0095353D"/>
    <w:rsid w:val="00A515F7"/>
    <w:rsid w:val="00A64F29"/>
    <w:rsid w:val="00B242E4"/>
    <w:rsid w:val="00B744DE"/>
    <w:rsid w:val="00B76A2C"/>
    <w:rsid w:val="00B942A1"/>
    <w:rsid w:val="00BA00A1"/>
    <w:rsid w:val="00BA15F3"/>
    <w:rsid w:val="00BF53BE"/>
    <w:rsid w:val="00C00F47"/>
    <w:rsid w:val="00C56CD1"/>
    <w:rsid w:val="00C72B09"/>
    <w:rsid w:val="00C865A2"/>
    <w:rsid w:val="00CD19BC"/>
    <w:rsid w:val="00DA0822"/>
    <w:rsid w:val="00E20C83"/>
    <w:rsid w:val="00F25881"/>
    <w:rsid w:val="00F97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8FB6"/>
  <w15:docId w15:val="{F2A36786-8E3E-434C-AA66-AFBAB167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28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8DA"/>
  </w:style>
  <w:style w:type="paragraph" w:styleId="Stopka">
    <w:name w:val="footer"/>
    <w:basedOn w:val="Normalny"/>
    <w:link w:val="StopkaZnak"/>
    <w:uiPriority w:val="99"/>
    <w:unhideWhenUsed/>
    <w:rsid w:val="005C28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8DA"/>
  </w:style>
  <w:style w:type="paragraph" w:styleId="Tekstdymka">
    <w:name w:val="Balloon Text"/>
    <w:basedOn w:val="Normalny"/>
    <w:link w:val="TekstdymkaZnak"/>
    <w:uiPriority w:val="99"/>
    <w:semiHidden/>
    <w:unhideWhenUsed/>
    <w:rsid w:val="005C2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28DA"/>
    <w:rPr>
      <w:rFonts w:ascii="Tahoma" w:hAnsi="Tahoma" w:cs="Tahoma"/>
      <w:sz w:val="16"/>
      <w:szCs w:val="16"/>
    </w:rPr>
  </w:style>
  <w:style w:type="character" w:customStyle="1" w:styleId="TekstpodstawowyZnak">
    <w:name w:val="Tekst podstawowy Znak"/>
    <w:aliases w:val="Body Text Char Znak,Body Text Char2 Char Znak,Body Text Char Char Char1 Znak,Body Text Char1 Char Char Char1 Znak,Body Text Char Char Char1 Char Char1 Znak,Body Text Char1 Char Char Char1 Char Char1 Znak,Body Text Char1 Znak"/>
    <w:basedOn w:val="Domylnaczcionkaakapitu"/>
    <w:link w:val="Tekstpodstawowy"/>
    <w:semiHidden/>
    <w:locked/>
    <w:rsid w:val="005C28DA"/>
    <w:rPr>
      <w:rFonts w:ascii="Arial" w:eastAsia="Times New Roman" w:hAnsi="Arial" w:cs="Arial"/>
      <w:szCs w:val="24"/>
    </w:rPr>
  </w:style>
  <w:style w:type="paragraph" w:styleId="Tekstpodstawowy">
    <w:name w:val="Body Text"/>
    <w:aliases w:val="Body Text Char,Body Text Char2 Char,Body Text Char Char Char1,Body Text Char1 Char Char Char1,Body Text Char Char Char1 Char Char1,Body Text Char1 Char Char Char1 Char Char1,Body Text 1 Char Char Char1 Char1 Char Char1,Body Text Char1"/>
    <w:basedOn w:val="Normalny"/>
    <w:link w:val="TekstpodstawowyZnak"/>
    <w:semiHidden/>
    <w:unhideWhenUsed/>
    <w:rsid w:val="005C28DA"/>
    <w:pPr>
      <w:spacing w:after="120" w:line="240" w:lineRule="auto"/>
      <w:jc w:val="both"/>
    </w:pPr>
    <w:rPr>
      <w:rFonts w:ascii="Arial" w:eastAsia="Times New Roman" w:hAnsi="Arial" w:cs="Arial"/>
      <w:szCs w:val="24"/>
    </w:rPr>
  </w:style>
  <w:style w:type="character" w:customStyle="1" w:styleId="TekstpodstawowyZnak1">
    <w:name w:val="Tekst podstawowy Znak1"/>
    <w:basedOn w:val="Domylnaczcionkaakapitu"/>
    <w:uiPriority w:val="99"/>
    <w:semiHidden/>
    <w:rsid w:val="005C28DA"/>
  </w:style>
  <w:style w:type="paragraph" w:styleId="Tekstpodstawowywcity">
    <w:name w:val="Body Text Indent"/>
    <w:basedOn w:val="Normalny"/>
    <w:link w:val="TekstpodstawowywcityZnak"/>
    <w:semiHidden/>
    <w:unhideWhenUsed/>
    <w:rsid w:val="005C28DA"/>
    <w:pPr>
      <w:spacing w:line="300" w:lineRule="auto"/>
      <w:ind w:left="663"/>
      <w:jc w:val="both"/>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semiHidden/>
    <w:rsid w:val="005C28DA"/>
    <w:rPr>
      <w:rFonts w:ascii="Times New Roman" w:eastAsia="Calibri" w:hAnsi="Times New Roman" w:cs="Times New Roman"/>
      <w:sz w:val="24"/>
    </w:rPr>
  </w:style>
  <w:style w:type="character" w:customStyle="1" w:styleId="TekstpodstawowyzwciciemZnak">
    <w:name w:val="Tekst podstawowy z wcięciem Znak"/>
    <w:aliases w:val="Bullet First Indent Znak,Body Text First Indent Znak"/>
    <w:basedOn w:val="TekstpodstawowyZnak"/>
    <w:link w:val="Tekstpodstawowyzwciciem"/>
    <w:semiHidden/>
    <w:locked/>
    <w:rsid w:val="005C28DA"/>
    <w:rPr>
      <w:rFonts w:ascii="Arial" w:eastAsia="Times New Roman" w:hAnsi="Arial" w:cs="Arial"/>
      <w:szCs w:val="24"/>
    </w:rPr>
  </w:style>
  <w:style w:type="paragraph" w:styleId="Tekstpodstawowyzwciciem">
    <w:name w:val="Body Text First Indent"/>
    <w:aliases w:val="Bullet First Indent,Body Text First Indent"/>
    <w:basedOn w:val="Tekstpodstawowy"/>
    <w:link w:val="TekstpodstawowyzwciciemZnak"/>
    <w:semiHidden/>
    <w:unhideWhenUsed/>
    <w:rsid w:val="005C28DA"/>
    <w:pPr>
      <w:numPr>
        <w:numId w:val="1"/>
      </w:numPr>
    </w:pPr>
  </w:style>
  <w:style w:type="character" w:customStyle="1" w:styleId="TekstpodstawowyzwciciemZnak1">
    <w:name w:val="Tekst podstawowy z wcięciem Znak1"/>
    <w:basedOn w:val="TekstpodstawowyZnak1"/>
    <w:uiPriority w:val="99"/>
    <w:semiHidden/>
    <w:rsid w:val="005C28DA"/>
  </w:style>
  <w:style w:type="paragraph" w:styleId="Akapitzlist">
    <w:name w:val="List Paragraph"/>
    <w:basedOn w:val="Normalny"/>
    <w:uiPriority w:val="34"/>
    <w:qFormat/>
    <w:rsid w:val="005C28DA"/>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F97D9A"/>
    <w:rPr>
      <w:sz w:val="16"/>
      <w:szCs w:val="16"/>
    </w:rPr>
  </w:style>
  <w:style w:type="paragraph" w:styleId="Tekstkomentarza">
    <w:name w:val="annotation text"/>
    <w:basedOn w:val="Normalny"/>
    <w:link w:val="TekstkomentarzaZnak"/>
    <w:uiPriority w:val="99"/>
    <w:semiHidden/>
    <w:unhideWhenUsed/>
    <w:rsid w:val="00F97D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7D9A"/>
    <w:rPr>
      <w:sz w:val="20"/>
      <w:szCs w:val="20"/>
    </w:rPr>
  </w:style>
  <w:style w:type="paragraph" w:styleId="Tematkomentarza">
    <w:name w:val="annotation subject"/>
    <w:basedOn w:val="Tekstkomentarza"/>
    <w:next w:val="Tekstkomentarza"/>
    <w:link w:val="TematkomentarzaZnak"/>
    <w:uiPriority w:val="99"/>
    <w:semiHidden/>
    <w:unhideWhenUsed/>
    <w:rsid w:val="00F97D9A"/>
    <w:rPr>
      <w:b/>
      <w:bCs/>
    </w:rPr>
  </w:style>
  <w:style w:type="character" w:customStyle="1" w:styleId="TematkomentarzaZnak">
    <w:name w:val="Temat komentarza Znak"/>
    <w:basedOn w:val="TekstkomentarzaZnak"/>
    <w:link w:val="Tematkomentarza"/>
    <w:uiPriority w:val="99"/>
    <w:semiHidden/>
    <w:rsid w:val="00F97D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6717">
      <w:bodyDiv w:val="1"/>
      <w:marLeft w:val="0"/>
      <w:marRight w:val="0"/>
      <w:marTop w:val="0"/>
      <w:marBottom w:val="0"/>
      <w:divBdr>
        <w:top w:val="none" w:sz="0" w:space="0" w:color="auto"/>
        <w:left w:val="none" w:sz="0" w:space="0" w:color="auto"/>
        <w:bottom w:val="none" w:sz="0" w:space="0" w:color="auto"/>
        <w:right w:val="none" w:sz="0" w:space="0" w:color="auto"/>
      </w:divBdr>
    </w:div>
    <w:div w:id="990018909">
      <w:bodyDiv w:val="1"/>
      <w:marLeft w:val="0"/>
      <w:marRight w:val="0"/>
      <w:marTop w:val="0"/>
      <w:marBottom w:val="0"/>
      <w:divBdr>
        <w:top w:val="none" w:sz="0" w:space="0" w:color="auto"/>
        <w:left w:val="none" w:sz="0" w:space="0" w:color="auto"/>
        <w:bottom w:val="none" w:sz="0" w:space="0" w:color="auto"/>
        <w:right w:val="none" w:sz="0" w:space="0" w:color="auto"/>
      </w:divBdr>
    </w:div>
    <w:div w:id="1294484320">
      <w:bodyDiv w:val="1"/>
      <w:marLeft w:val="0"/>
      <w:marRight w:val="0"/>
      <w:marTop w:val="0"/>
      <w:marBottom w:val="0"/>
      <w:divBdr>
        <w:top w:val="none" w:sz="0" w:space="0" w:color="auto"/>
        <w:left w:val="none" w:sz="0" w:space="0" w:color="auto"/>
        <w:bottom w:val="none" w:sz="0" w:space="0" w:color="auto"/>
        <w:right w:val="none" w:sz="0" w:space="0" w:color="auto"/>
      </w:divBdr>
      <w:divsChild>
        <w:div w:id="1687445249">
          <w:marLeft w:val="0"/>
          <w:marRight w:val="0"/>
          <w:marTop w:val="0"/>
          <w:marBottom w:val="0"/>
          <w:divBdr>
            <w:top w:val="none" w:sz="0" w:space="0" w:color="auto"/>
            <w:left w:val="none" w:sz="0" w:space="0" w:color="auto"/>
            <w:bottom w:val="none" w:sz="0" w:space="0" w:color="auto"/>
            <w:right w:val="none" w:sz="0" w:space="0" w:color="auto"/>
          </w:divBdr>
        </w:div>
        <w:div w:id="1469937158">
          <w:marLeft w:val="0"/>
          <w:marRight w:val="0"/>
          <w:marTop w:val="0"/>
          <w:marBottom w:val="0"/>
          <w:divBdr>
            <w:top w:val="none" w:sz="0" w:space="0" w:color="auto"/>
            <w:left w:val="none" w:sz="0" w:space="0" w:color="auto"/>
            <w:bottom w:val="none" w:sz="0" w:space="0" w:color="auto"/>
            <w:right w:val="none" w:sz="0" w:space="0" w:color="auto"/>
          </w:divBdr>
        </w:div>
        <w:div w:id="1860971061">
          <w:marLeft w:val="0"/>
          <w:marRight w:val="0"/>
          <w:marTop w:val="0"/>
          <w:marBottom w:val="0"/>
          <w:divBdr>
            <w:top w:val="none" w:sz="0" w:space="0" w:color="auto"/>
            <w:left w:val="none" w:sz="0" w:space="0" w:color="auto"/>
            <w:bottom w:val="none" w:sz="0" w:space="0" w:color="auto"/>
            <w:right w:val="none" w:sz="0" w:space="0" w:color="auto"/>
          </w:divBdr>
        </w:div>
        <w:div w:id="1308051756">
          <w:marLeft w:val="0"/>
          <w:marRight w:val="0"/>
          <w:marTop w:val="0"/>
          <w:marBottom w:val="0"/>
          <w:divBdr>
            <w:top w:val="none" w:sz="0" w:space="0" w:color="auto"/>
            <w:left w:val="none" w:sz="0" w:space="0" w:color="auto"/>
            <w:bottom w:val="none" w:sz="0" w:space="0" w:color="auto"/>
            <w:right w:val="none" w:sz="0" w:space="0" w:color="auto"/>
          </w:divBdr>
        </w:div>
        <w:div w:id="1295521557">
          <w:marLeft w:val="0"/>
          <w:marRight w:val="0"/>
          <w:marTop w:val="0"/>
          <w:marBottom w:val="0"/>
          <w:divBdr>
            <w:top w:val="none" w:sz="0" w:space="0" w:color="auto"/>
            <w:left w:val="none" w:sz="0" w:space="0" w:color="auto"/>
            <w:bottom w:val="none" w:sz="0" w:space="0" w:color="auto"/>
            <w:right w:val="none" w:sz="0" w:space="0" w:color="auto"/>
          </w:divBdr>
        </w:div>
        <w:div w:id="406193784">
          <w:marLeft w:val="0"/>
          <w:marRight w:val="0"/>
          <w:marTop w:val="0"/>
          <w:marBottom w:val="0"/>
          <w:divBdr>
            <w:top w:val="none" w:sz="0" w:space="0" w:color="auto"/>
            <w:left w:val="none" w:sz="0" w:space="0" w:color="auto"/>
            <w:bottom w:val="none" w:sz="0" w:space="0" w:color="auto"/>
            <w:right w:val="none" w:sz="0" w:space="0" w:color="auto"/>
          </w:divBdr>
        </w:div>
        <w:div w:id="859466401">
          <w:marLeft w:val="0"/>
          <w:marRight w:val="0"/>
          <w:marTop w:val="0"/>
          <w:marBottom w:val="0"/>
          <w:divBdr>
            <w:top w:val="none" w:sz="0" w:space="0" w:color="auto"/>
            <w:left w:val="none" w:sz="0" w:space="0" w:color="auto"/>
            <w:bottom w:val="none" w:sz="0" w:space="0" w:color="auto"/>
            <w:right w:val="none" w:sz="0" w:space="0" w:color="auto"/>
          </w:divBdr>
        </w:div>
        <w:div w:id="1044216716">
          <w:marLeft w:val="0"/>
          <w:marRight w:val="0"/>
          <w:marTop w:val="0"/>
          <w:marBottom w:val="0"/>
          <w:divBdr>
            <w:top w:val="none" w:sz="0" w:space="0" w:color="auto"/>
            <w:left w:val="none" w:sz="0" w:space="0" w:color="auto"/>
            <w:bottom w:val="none" w:sz="0" w:space="0" w:color="auto"/>
            <w:right w:val="none" w:sz="0" w:space="0" w:color="auto"/>
          </w:divBdr>
        </w:div>
      </w:divsChild>
    </w:div>
    <w:div w:id="1338800699">
      <w:bodyDiv w:val="1"/>
      <w:marLeft w:val="0"/>
      <w:marRight w:val="0"/>
      <w:marTop w:val="0"/>
      <w:marBottom w:val="0"/>
      <w:divBdr>
        <w:top w:val="none" w:sz="0" w:space="0" w:color="auto"/>
        <w:left w:val="none" w:sz="0" w:space="0" w:color="auto"/>
        <w:bottom w:val="none" w:sz="0" w:space="0" w:color="auto"/>
        <w:right w:val="none" w:sz="0" w:space="0" w:color="auto"/>
      </w:divBdr>
    </w:div>
    <w:div w:id="18340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1440</Words>
  <Characters>8640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jomitis</dc:creator>
  <cp:lastModifiedBy>Prorok Magdalena</cp:lastModifiedBy>
  <cp:revision>11</cp:revision>
  <cp:lastPrinted>2019-01-08T07:56:00Z</cp:lastPrinted>
  <dcterms:created xsi:type="dcterms:W3CDTF">2018-12-20T06:26:00Z</dcterms:created>
  <dcterms:modified xsi:type="dcterms:W3CDTF">2019-01-17T07:02:00Z</dcterms:modified>
</cp:coreProperties>
</file>