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6" w:rsidRDefault="00527D0C" w:rsidP="00C128D3">
      <w:pPr>
        <w:spacing w:beforeLines="60" w:afterLines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FC6">
        <w:rPr>
          <w:rFonts w:ascii="Arial" w:hAnsi="Arial" w:cs="Arial"/>
          <w:b/>
          <w:sz w:val="20"/>
          <w:szCs w:val="20"/>
        </w:rPr>
        <w:t>Opis potrzeb i cechy charakterystyczne</w:t>
      </w:r>
      <w:r w:rsidR="00E16C88" w:rsidRPr="00D11FC6">
        <w:rPr>
          <w:rFonts w:ascii="Arial" w:hAnsi="Arial" w:cs="Arial"/>
          <w:b/>
          <w:sz w:val="20"/>
          <w:szCs w:val="20"/>
        </w:rPr>
        <w:t xml:space="preserve"> </w:t>
      </w:r>
      <w:r w:rsidRPr="00D11FC6">
        <w:rPr>
          <w:rFonts w:ascii="Arial" w:hAnsi="Arial" w:cs="Arial"/>
          <w:b/>
          <w:sz w:val="20"/>
          <w:szCs w:val="20"/>
        </w:rPr>
        <w:t>usług będących przedmiotem</w:t>
      </w:r>
      <w:r w:rsidR="00E16C88" w:rsidRPr="00D11FC6">
        <w:rPr>
          <w:rFonts w:ascii="Arial" w:hAnsi="Arial" w:cs="Arial"/>
          <w:b/>
          <w:sz w:val="20"/>
          <w:szCs w:val="20"/>
        </w:rPr>
        <w:t xml:space="preserve"> </w:t>
      </w:r>
      <w:r w:rsidR="00E16C88" w:rsidRPr="00754D5D">
        <w:rPr>
          <w:rFonts w:ascii="Arial" w:hAnsi="Arial" w:cs="Arial"/>
          <w:b/>
          <w:sz w:val="20"/>
          <w:szCs w:val="20"/>
        </w:rPr>
        <w:t>zamówienia</w:t>
      </w:r>
    </w:p>
    <w:p w:rsidR="00AD6EA6" w:rsidRDefault="00BD6486" w:rsidP="00C128D3">
      <w:pPr>
        <w:pStyle w:val="Akapitzlist"/>
        <w:numPr>
          <w:ilvl w:val="0"/>
          <w:numId w:val="8"/>
        </w:numPr>
        <w:spacing w:beforeLines="60" w:afterLines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4D5D">
        <w:rPr>
          <w:rFonts w:ascii="Arial" w:hAnsi="Arial" w:cs="Arial"/>
          <w:b/>
          <w:sz w:val="20"/>
          <w:szCs w:val="20"/>
        </w:rPr>
        <w:t xml:space="preserve">WSTĘP </w:t>
      </w:r>
    </w:p>
    <w:p w:rsidR="00AD6EA6" w:rsidRDefault="00AD6EA6" w:rsidP="00C128D3">
      <w:pPr>
        <w:pStyle w:val="Akapitzlist"/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p w:rsidR="00AD6EA6" w:rsidRDefault="001761D1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jest użytkownikiem systemu IFS Applications na podstawie licencji zakupionej w wyniku </w:t>
      </w:r>
      <w:r w:rsidR="00436725">
        <w:rPr>
          <w:rFonts w:ascii="Arial" w:hAnsi="Arial" w:cs="Arial"/>
          <w:sz w:val="20"/>
          <w:szCs w:val="20"/>
        </w:rPr>
        <w:t>postępowania</w:t>
      </w:r>
      <w:r>
        <w:rPr>
          <w:rFonts w:ascii="Arial" w:hAnsi="Arial" w:cs="Arial"/>
          <w:sz w:val="20"/>
          <w:szCs w:val="20"/>
        </w:rPr>
        <w:t xml:space="preserve"> przetargowego prowadzonego w 2002 roku. </w:t>
      </w:r>
    </w:p>
    <w:p w:rsidR="00AD6EA6" w:rsidRDefault="001761D1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Aktualnie Zamawiający posiada System </w:t>
      </w:r>
      <w:r w:rsidR="00482A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FS Applications w wersji 7.5. </w:t>
      </w:r>
    </w:p>
    <w:p w:rsidR="00AD6EA6" w:rsidRDefault="001761D1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posiada licencje na moduły Systemu IFS Applications oraz na Użytkowników Nazwanych - w tym: </w:t>
      </w:r>
    </w:p>
    <w:p w:rsidR="0090169E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pełne w ilości 219 szt.</w:t>
      </w:r>
    </w:p>
    <w:p w:rsidR="0090169E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licencje ograniczone w zakresie obsługi  magazynu w ilości 98 szt.</w:t>
      </w:r>
    </w:p>
    <w:p w:rsidR="00AD6EA6" w:rsidRDefault="001761D1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komórka organizacyjna Zamawiającego pracuje w tym środowisku (Systemie IFS Applications w wersji 7.5). </w:t>
      </w:r>
    </w:p>
    <w:p w:rsidR="00AD6EA6" w:rsidRDefault="001761D1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Powodami wdrożenia Systemu IFS Applications do </w:t>
      </w:r>
      <w:r w:rsidR="00482A78">
        <w:rPr>
          <w:rFonts w:ascii="Arial" w:hAnsi="Arial" w:cs="Arial"/>
          <w:sz w:val="20"/>
          <w:szCs w:val="20"/>
        </w:rPr>
        <w:t xml:space="preserve">najnowszej </w:t>
      </w:r>
      <w:r>
        <w:rPr>
          <w:rFonts w:ascii="Arial" w:hAnsi="Arial" w:cs="Arial"/>
          <w:sz w:val="20"/>
          <w:szCs w:val="20"/>
        </w:rPr>
        <w:t xml:space="preserve">wersji 9 są: </w:t>
      </w:r>
    </w:p>
    <w:p w:rsidR="00AD6EA6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realizacja strategii Zamawiającego w zakresie zarządzania aplikacjami u Zamawiającego,</w:t>
      </w:r>
    </w:p>
    <w:p w:rsidR="00AD6EA6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ograniczenie wsparcia dotychczas użytkowanej wersji przez producenta oprogramowania,</w:t>
      </w:r>
    </w:p>
    <w:p w:rsidR="00AD6EA6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poszerzenie zakresu działania systemu IFS Applications  o nowe funkcjonalności w obszarach: praca pogotowia, elektroniczny obieg dokumentów, narzędziownia, Stacje Obsług i Zajezdnie, planowanie remontów oraz współpraca z systemem Głównej Dyspozytorni Ruchu,</w:t>
      </w:r>
    </w:p>
    <w:p w:rsidR="00AD6EA6" w:rsidRDefault="001761D1" w:rsidP="00C128D3">
      <w:pPr>
        <w:pStyle w:val="Akapitzlist"/>
        <w:numPr>
          <w:ilvl w:val="1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łatwa integracja z rozwijanym u Zamawiającego środowiskiem informatycznym,</w:t>
      </w:r>
    </w:p>
    <w:p w:rsidR="0090169E" w:rsidRPr="0090169E" w:rsidRDefault="00482A78" w:rsidP="00482A78">
      <w:pPr>
        <w:pStyle w:val="Akapitzlist"/>
        <w:numPr>
          <w:ilvl w:val="1"/>
          <w:numId w:val="7"/>
        </w:numPr>
        <w:spacing w:before="144" w:after="14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1761D1">
        <w:rPr>
          <w:rFonts w:ascii="Arial" w:hAnsi="Arial" w:cs="Arial"/>
          <w:bCs/>
          <w:sz w:val="20"/>
          <w:szCs w:val="20"/>
        </w:rPr>
        <w:t>owe możliwości Systemu IFS Applications w zakresie udostępnienia Zamawiającemu narzędzi systemowych pozwalających na samodzielną parametryzację Systemu IFS Applications we własnym zakresie</w:t>
      </w:r>
    </w:p>
    <w:p w:rsidR="00AD6EA6" w:rsidRDefault="000263F5" w:rsidP="00C128D3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754D5D">
        <w:rPr>
          <w:rFonts w:ascii="Arial" w:hAnsi="Arial" w:cs="Arial"/>
          <w:sz w:val="20"/>
          <w:szCs w:val="20"/>
        </w:rPr>
        <w:t>Zamawiający nie posiada kodów źródłowych pozwalającyc</w:t>
      </w:r>
      <w:r w:rsidR="00BD6486" w:rsidRPr="00754D5D">
        <w:rPr>
          <w:rFonts w:ascii="Arial" w:hAnsi="Arial" w:cs="Arial"/>
          <w:sz w:val="20"/>
          <w:szCs w:val="20"/>
        </w:rPr>
        <w:t>h na dokonywanie aktualizacji i </w:t>
      </w:r>
      <w:r w:rsidRPr="00754D5D">
        <w:rPr>
          <w:rFonts w:ascii="Arial" w:hAnsi="Arial" w:cs="Arial"/>
          <w:sz w:val="20"/>
          <w:szCs w:val="20"/>
        </w:rPr>
        <w:t xml:space="preserve">modernizacji </w:t>
      </w:r>
      <w:r w:rsidR="00E16C88" w:rsidRPr="00754D5D">
        <w:rPr>
          <w:rFonts w:ascii="Arial" w:hAnsi="Arial" w:cs="Arial"/>
          <w:bCs/>
          <w:sz w:val="20"/>
          <w:szCs w:val="20"/>
        </w:rPr>
        <w:t>Systemu IFS Applications</w:t>
      </w:r>
      <w:r w:rsidR="00E16C88" w:rsidRPr="00754D5D" w:rsidDel="00E16C88">
        <w:rPr>
          <w:rFonts w:ascii="Arial" w:hAnsi="Arial" w:cs="Arial"/>
          <w:sz w:val="20"/>
          <w:szCs w:val="20"/>
        </w:rPr>
        <w:t xml:space="preserve"> </w:t>
      </w:r>
      <w:r w:rsidR="00D24452" w:rsidRPr="00754D5D">
        <w:rPr>
          <w:rFonts w:ascii="Arial" w:hAnsi="Arial" w:cs="Arial"/>
          <w:sz w:val="20"/>
          <w:szCs w:val="20"/>
        </w:rPr>
        <w:t>.</w:t>
      </w:r>
      <w:r w:rsidR="00693FD0" w:rsidRPr="00754D5D">
        <w:rPr>
          <w:rFonts w:ascii="Arial" w:hAnsi="Arial" w:cs="Arial"/>
          <w:sz w:val="20"/>
          <w:szCs w:val="20"/>
        </w:rPr>
        <w:t xml:space="preserve"> </w:t>
      </w:r>
    </w:p>
    <w:p w:rsidR="00AD6EA6" w:rsidRDefault="00AD6EA6" w:rsidP="00C128D3">
      <w:pPr>
        <w:pStyle w:val="Akapitzlist"/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p w:rsidR="00AD6EA6" w:rsidRDefault="001761D1" w:rsidP="00C128D3">
      <w:pPr>
        <w:pStyle w:val="Akapitzlist"/>
        <w:numPr>
          <w:ilvl w:val="0"/>
          <w:numId w:val="8"/>
        </w:numPr>
        <w:spacing w:beforeLines="60" w:afterLines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AD6EA6" w:rsidRDefault="00AD6EA6" w:rsidP="00C128D3">
      <w:pPr>
        <w:pStyle w:val="Akapitzlist"/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p w:rsidR="00AD6EA6" w:rsidRDefault="001761D1" w:rsidP="00C128D3">
      <w:pPr>
        <w:pStyle w:val="Akapitzlist"/>
        <w:numPr>
          <w:ilvl w:val="0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jest usługa polegająca na przeprowadzeniu kompleksowego </w:t>
      </w:r>
      <w:r>
        <w:rPr>
          <w:rFonts w:ascii="Arial" w:hAnsi="Arial" w:cs="Arial"/>
          <w:sz w:val="20"/>
          <w:szCs w:val="20"/>
          <w:u w:val="single"/>
        </w:rPr>
        <w:t>procesu aktualizacji użytkowanego</w:t>
      </w:r>
      <w:r>
        <w:rPr>
          <w:rFonts w:ascii="Arial" w:hAnsi="Arial" w:cs="Arial"/>
          <w:sz w:val="20"/>
          <w:szCs w:val="20"/>
        </w:rPr>
        <w:t xml:space="preserve"> przez Zamawiającego systemu IFS Applications w wersji 7.5 do </w:t>
      </w:r>
      <w:r w:rsidR="00482A78">
        <w:rPr>
          <w:rFonts w:ascii="Arial" w:hAnsi="Arial" w:cs="Arial"/>
          <w:sz w:val="20"/>
          <w:szCs w:val="20"/>
        </w:rPr>
        <w:t xml:space="preserve">najnowszej </w:t>
      </w:r>
      <w:r>
        <w:rPr>
          <w:rFonts w:ascii="Arial" w:hAnsi="Arial" w:cs="Arial"/>
          <w:sz w:val="20"/>
          <w:szCs w:val="20"/>
        </w:rPr>
        <w:t xml:space="preserve">wersji 9 wraz z </w:t>
      </w:r>
      <w:r>
        <w:rPr>
          <w:rFonts w:ascii="Arial" w:hAnsi="Arial" w:cs="Arial"/>
          <w:sz w:val="20"/>
          <w:szCs w:val="20"/>
          <w:u w:val="single"/>
        </w:rPr>
        <w:t>poszerzeniem jego funkcjonalności</w:t>
      </w:r>
      <w:r>
        <w:rPr>
          <w:rFonts w:ascii="Arial" w:hAnsi="Arial" w:cs="Arial"/>
          <w:sz w:val="20"/>
          <w:szCs w:val="20"/>
        </w:rPr>
        <w:t xml:space="preserve"> oraz </w:t>
      </w:r>
      <w:r w:rsidR="00482A78">
        <w:rPr>
          <w:rFonts w:ascii="Arial" w:hAnsi="Arial" w:cs="Arial"/>
          <w:sz w:val="20"/>
          <w:szCs w:val="20"/>
        </w:rPr>
        <w:t xml:space="preserve">usługa polegająca na </w:t>
      </w:r>
      <w:r>
        <w:rPr>
          <w:rFonts w:ascii="Arial" w:hAnsi="Arial" w:cs="Arial"/>
          <w:sz w:val="20"/>
          <w:szCs w:val="20"/>
          <w:u w:val="single"/>
        </w:rPr>
        <w:t>nadzorze i opiece serwisowej</w:t>
      </w:r>
      <w:r>
        <w:rPr>
          <w:rFonts w:ascii="Arial" w:hAnsi="Arial" w:cs="Arial"/>
          <w:sz w:val="20"/>
          <w:szCs w:val="20"/>
        </w:rPr>
        <w:t xml:space="preserve"> nad zaktualizowanym i rozszerzonym systemem.</w:t>
      </w:r>
    </w:p>
    <w:p w:rsidR="00AD6EA6" w:rsidRDefault="001761D1" w:rsidP="00C128D3">
      <w:pPr>
        <w:pStyle w:val="Akapitzlist"/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D6EA6" w:rsidRDefault="001761D1" w:rsidP="00C128D3">
      <w:pPr>
        <w:pStyle w:val="Akapitzlist"/>
        <w:numPr>
          <w:ilvl w:val="0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Przedmiot zamówienia obejmuje:</w:t>
      </w:r>
    </w:p>
    <w:p w:rsidR="001D3184" w:rsidRDefault="001761D1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1D3184">
        <w:rPr>
          <w:rFonts w:ascii="Arial" w:hAnsi="Arial" w:cs="Arial"/>
          <w:sz w:val="20"/>
          <w:szCs w:val="20"/>
        </w:rPr>
        <w:t>dostarczenie wszystkich elementów nie</w:t>
      </w:r>
      <w:r w:rsidR="00482A78" w:rsidRPr="001D3184">
        <w:rPr>
          <w:rFonts w:ascii="Arial" w:hAnsi="Arial" w:cs="Arial"/>
          <w:sz w:val="20"/>
          <w:szCs w:val="20"/>
        </w:rPr>
        <w:t xml:space="preserve">zbędnych do wdrożenia systemu w najnowszej </w:t>
      </w:r>
      <w:r w:rsidRPr="001D3184">
        <w:rPr>
          <w:rFonts w:ascii="Arial" w:hAnsi="Arial" w:cs="Arial"/>
          <w:sz w:val="20"/>
          <w:szCs w:val="20"/>
        </w:rPr>
        <w:t xml:space="preserve">wersji </w:t>
      </w:r>
      <w:r w:rsidR="00482A78" w:rsidRPr="001D3184">
        <w:rPr>
          <w:rFonts w:ascii="Arial" w:hAnsi="Arial" w:cs="Arial"/>
          <w:sz w:val="20"/>
          <w:szCs w:val="20"/>
        </w:rPr>
        <w:t>9</w:t>
      </w:r>
      <w:r w:rsidR="001D3184" w:rsidRPr="001D3184">
        <w:rPr>
          <w:rFonts w:ascii="Arial" w:hAnsi="Arial" w:cs="Arial"/>
          <w:sz w:val="20"/>
          <w:szCs w:val="20"/>
        </w:rPr>
        <w:t xml:space="preserve">, </w:t>
      </w:r>
      <w:r w:rsidRPr="001D3184">
        <w:rPr>
          <w:rFonts w:ascii="Arial" w:hAnsi="Arial" w:cs="Arial"/>
          <w:sz w:val="20"/>
          <w:szCs w:val="20"/>
        </w:rPr>
        <w:t xml:space="preserve">w tym: aktualizacja licencji </w:t>
      </w:r>
      <w:r w:rsidR="001D3184">
        <w:rPr>
          <w:rFonts w:ascii="Arial" w:hAnsi="Arial" w:cs="Arial"/>
          <w:sz w:val="20"/>
          <w:szCs w:val="20"/>
        </w:rPr>
        <w:t>na</w:t>
      </w:r>
      <w:r w:rsidR="001D3184" w:rsidRPr="001D3184">
        <w:rPr>
          <w:rFonts w:ascii="Arial" w:hAnsi="Arial" w:cs="Arial"/>
          <w:sz w:val="20"/>
          <w:szCs w:val="20"/>
        </w:rPr>
        <w:t xml:space="preserve"> moduły podlegające aktualizacji oraz dostarczenie licencji na moduły podlegające wdrożeniu</w:t>
      </w:r>
      <w:r w:rsidR="001D3184">
        <w:rPr>
          <w:rFonts w:ascii="Arial" w:hAnsi="Arial" w:cs="Arial"/>
          <w:sz w:val="20"/>
          <w:szCs w:val="20"/>
        </w:rPr>
        <w:t>.</w:t>
      </w:r>
    </w:p>
    <w:p w:rsidR="00AD6EA6" w:rsidRDefault="001761D1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przeniesienie części istniejących modyfikacji do nowej wersji Systemu IFS Applications wg wskazania Zamawiającego,</w:t>
      </w:r>
    </w:p>
    <w:p w:rsidR="00AD6EA6" w:rsidRDefault="001761D1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dodatkowych, nowych modyfikacji w nowej wersji Systemu IFS Applications wg wskazania Zamawiającego,</w:t>
      </w:r>
    </w:p>
    <w:p w:rsidR="00AD6EA6" w:rsidRDefault="006C5772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754D5D">
        <w:rPr>
          <w:rFonts w:ascii="Arial" w:hAnsi="Arial" w:cs="Arial"/>
          <w:sz w:val="20"/>
          <w:szCs w:val="20"/>
        </w:rPr>
        <w:t>prze</w:t>
      </w:r>
      <w:r w:rsidR="009776E9" w:rsidRPr="00754D5D">
        <w:rPr>
          <w:rFonts w:ascii="Arial" w:hAnsi="Arial" w:cs="Arial"/>
          <w:sz w:val="20"/>
          <w:szCs w:val="20"/>
        </w:rPr>
        <w:t xml:space="preserve">prowadzenie </w:t>
      </w:r>
      <w:r w:rsidR="00E16C88" w:rsidRPr="00754D5D">
        <w:rPr>
          <w:rFonts w:ascii="Arial" w:hAnsi="Arial" w:cs="Arial"/>
          <w:sz w:val="20"/>
          <w:szCs w:val="20"/>
        </w:rPr>
        <w:t xml:space="preserve">projektu </w:t>
      </w:r>
      <w:r w:rsidR="009776E9" w:rsidRPr="00754D5D">
        <w:rPr>
          <w:rFonts w:ascii="Arial" w:hAnsi="Arial" w:cs="Arial"/>
          <w:sz w:val="20"/>
          <w:szCs w:val="20"/>
        </w:rPr>
        <w:t>wdrożenia</w:t>
      </w:r>
      <w:r w:rsidR="00E16C88" w:rsidRPr="00754D5D">
        <w:rPr>
          <w:rFonts w:ascii="Arial" w:hAnsi="Arial" w:cs="Arial"/>
          <w:sz w:val="20"/>
          <w:szCs w:val="20"/>
        </w:rPr>
        <w:t xml:space="preserve"> aktualizacji</w:t>
      </w:r>
      <w:r w:rsidR="009776E9" w:rsidRPr="00754D5D">
        <w:rPr>
          <w:rFonts w:ascii="Arial" w:hAnsi="Arial" w:cs="Arial"/>
          <w:sz w:val="20"/>
          <w:szCs w:val="20"/>
        </w:rPr>
        <w:t>,</w:t>
      </w:r>
    </w:p>
    <w:p w:rsidR="00AD6EA6" w:rsidRDefault="009776E9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440A27">
        <w:rPr>
          <w:rFonts w:ascii="Arial" w:hAnsi="Arial" w:cs="Arial"/>
          <w:sz w:val="20"/>
          <w:szCs w:val="20"/>
        </w:rPr>
        <w:t xml:space="preserve">nadzór i </w:t>
      </w:r>
      <w:r w:rsidR="0032701C" w:rsidRPr="00440A27">
        <w:rPr>
          <w:rFonts w:ascii="Arial" w:hAnsi="Arial" w:cs="Arial"/>
          <w:sz w:val="20"/>
          <w:szCs w:val="20"/>
        </w:rPr>
        <w:t xml:space="preserve">opiekę nad </w:t>
      </w:r>
      <w:r w:rsidR="006C5772" w:rsidRPr="00440A27">
        <w:rPr>
          <w:rFonts w:ascii="Arial" w:hAnsi="Arial" w:cs="Arial"/>
          <w:sz w:val="20"/>
          <w:szCs w:val="20"/>
        </w:rPr>
        <w:t xml:space="preserve">wdrożonym </w:t>
      </w:r>
      <w:r w:rsidR="001761D1">
        <w:rPr>
          <w:rFonts w:ascii="Arial" w:hAnsi="Arial" w:cs="Arial"/>
          <w:sz w:val="20"/>
          <w:szCs w:val="20"/>
        </w:rPr>
        <w:t>systemem, w tym dostosowywanie do zmian wymaganych przepisami prawa,</w:t>
      </w:r>
    </w:p>
    <w:p w:rsidR="00AD6EA6" w:rsidRDefault="001761D1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przeprowadzenie szkoleń dla Systemu IFS Applications w wersji 9 (administracja, obsługa procesów) dla członków zespołu projektowego Zamawiającego i kluczowych użytkowników, </w:t>
      </w:r>
    </w:p>
    <w:p w:rsidR="00AD6EA6" w:rsidRDefault="001761D1" w:rsidP="00C128D3">
      <w:pPr>
        <w:pStyle w:val="Akapitzlist"/>
        <w:numPr>
          <w:ilvl w:val="1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Zamawiającemu licencji w ilości:</w:t>
      </w:r>
    </w:p>
    <w:p w:rsidR="00AD6EA6" w:rsidRDefault="001761D1" w:rsidP="00C128D3">
      <w:pPr>
        <w:pStyle w:val="Akapitzlist"/>
        <w:numPr>
          <w:ilvl w:val="2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użytkownicy nazwani, pełni – 17 </w:t>
      </w:r>
      <w:r w:rsidR="00607B79">
        <w:rPr>
          <w:rFonts w:ascii="Arial" w:hAnsi="Arial" w:cs="Arial"/>
          <w:sz w:val="20"/>
          <w:szCs w:val="20"/>
        </w:rPr>
        <w:t>licencji</w:t>
      </w:r>
      <w:r w:rsidR="00A37AC1" w:rsidRPr="00754D5D">
        <w:rPr>
          <w:rFonts w:ascii="Arial" w:hAnsi="Arial" w:cs="Arial"/>
          <w:sz w:val="20"/>
          <w:szCs w:val="20"/>
        </w:rPr>
        <w:t>,</w:t>
      </w:r>
    </w:p>
    <w:p w:rsidR="00AD6EA6" w:rsidRDefault="00693FD0" w:rsidP="00C128D3">
      <w:pPr>
        <w:pStyle w:val="Akapitzlist"/>
        <w:numPr>
          <w:ilvl w:val="2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754D5D">
        <w:rPr>
          <w:rFonts w:ascii="Arial" w:hAnsi="Arial" w:cs="Arial"/>
          <w:sz w:val="20"/>
          <w:szCs w:val="20"/>
        </w:rPr>
        <w:t>użytk</w:t>
      </w:r>
      <w:r w:rsidR="00BD6486" w:rsidRPr="00754D5D">
        <w:rPr>
          <w:rFonts w:ascii="Arial" w:hAnsi="Arial" w:cs="Arial"/>
          <w:sz w:val="20"/>
          <w:szCs w:val="20"/>
        </w:rPr>
        <w:t xml:space="preserve">ownicy </w:t>
      </w:r>
      <w:r w:rsidR="00D11FC6" w:rsidRPr="00754D5D">
        <w:rPr>
          <w:rFonts w:ascii="Arial" w:hAnsi="Arial" w:cs="Arial"/>
          <w:sz w:val="20"/>
          <w:szCs w:val="20"/>
        </w:rPr>
        <w:t>nazwani. o</w:t>
      </w:r>
      <w:r w:rsidR="00D11FC6" w:rsidRPr="00440A27">
        <w:rPr>
          <w:rFonts w:ascii="Arial" w:hAnsi="Arial" w:cs="Arial"/>
          <w:sz w:val="20"/>
          <w:szCs w:val="20"/>
        </w:rPr>
        <w:t xml:space="preserve">graniczeni do </w:t>
      </w:r>
      <w:r w:rsidR="001761D1">
        <w:rPr>
          <w:rFonts w:ascii="Arial" w:hAnsi="Arial" w:cs="Arial"/>
          <w:sz w:val="20"/>
          <w:szCs w:val="20"/>
        </w:rPr>
        <w:t>obszaru dokumentacja – 60</w:t>
      </w:r>
      <w:r w:rsidR="00607B79">
        <w:rPr>
          <w:rFonts w:ascii="Arial" w:hAnsi="Arial" w:cs="Arial"/>
          <w:sz w:val="20"/>
          <w:szCs w:val="20"/>
        </w:rPr>
        <w:t xml:space="preserve"> licencji</w:t>
      </w:r>
      <w:r w:rsidR="00BD6486" w:rsidRPr="00754D5D">
        <w:rPr>
          <w:rFonts w:ascii="Arial" w:hAnsi="Arial" w:cs="Arial"/>
          <w:sz w:val="20"/>
          <w:szCs w:val="20"/>
        </w:rPr>
        <w:t>,</w:t>
      </w:r>
    </w:p>
    <w:p w:rsidR="00AD6EA6" w:rsidRDefault="00693FD0" w:rsidP="00C128D3">
      <w:pPr>
        <w:pStyle w:val="Akapitzlist"/>
        <w:numPr>
          <w:ilvl w:val="2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754D5D">
        <w:rPr>
          <w:rFonts w:ascii="Arial" w:hAnsi="Arial" w:cs="Arial"/>
          <w:sz w:val="20"/>
          <w:szCs w:val="20"/>
        </w:rPr>
        <w:t xml:space="preserve">użytkownicy </w:t>
      </w:r>
      <w:r w:rsidR="00D11FC6" w:rsidRPr="00754D5D">
        <w:rPr>
          <w:rFonts w:ascii="Arial" w:hAnsi="Arial" w:cs="Arial"/>
          <w:sz w:val="20"/>
          <w:szCs w:val="20"/>
        </w:rPr>
        <w:t xml:space="preserve">nazwani. ograniczeni </w:t>
      </w:r>
      <w:r w:rsidR="00D11FC6" w:rsidRPr="00440A27">
        <w:rPr>
          <w:rFonts w:ascii="Arial" w:hAnsi="Arial" w:cs="Arial"/>
          <w:sz w:val="20"/>
          <w:szCs w:val="20"/>
        </w:rPr>
        <w:t xml:space="preserve">do obszaru </w:t>
      </w:r>
      <w:r w:rsidR="001761D1">
        <w:rPr>
          <w:rFonts w:ascii="Arial" w:hAnsi="Arial" w:cs="Arial"/>
          <w:sz w:val="20"/>
          <w:szCs w:val="20"/>
        </w:rPr>
        <w:t>Stacja Obsługi – 350</w:t>
      </w:r>
      <w:r w:rsidR="00607B79">
        <w:rPr>
          <w:rFonts w:ascii="Arial" w:hAnsi="Arial" w:cs="Arial"/>
          <w:sz w:val="20"/>
          <w:szCs w:val="20"/>
        </w:rPr>
        <w:t xml:space="preserve"> licencji</w:t>
      </w:r>
      <w:r w:rsidR="00BD6486" w:rsidRPr="00754D5D">
        <w:rPr>
          <w:rFonts w:ascii="Arial" w:hAnsi="Arial" w:cs="Arial"/>
          <w:sz w:val="20"/>
          <w:szCs w:val="20"/>
        </w:rPr>
        <w:t>.</w:t>
      </w:r>
    </w:p>
    <w:p w:rsidR="00482A78" w:rsidRPr="00482A78" w:rsidRDefault="00482A78" w:rsidP="00C128D3">
      <w:p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zamówienia o którym mowa w pkt. 2 powyżej stanowi minimalne wymagania jakie muszą spełniać oferty.</w:t>
      </w:r>
    </w:p>
    <w:p w:rsidR="00AD6EA6" w:rsidRDefault="00693FD0" w:rsidP="00C128D3">
      <w:pPr>
        <w:pStyle w:val="Akapitzlist"/>
        <w:spacing w:beforeLines="60" w:afterLines="6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754D5D">
        <w:rPr>
          <w:rFonts w:ascii="Arial" w:hAnsi="Arial" w:cs="Arial"/>
          <w:sz w:val="20"/>
          <w:szCs w:val="20"/>
        </w:rPr>
        <w:t xml:space="preserve"> </w:t>
      </w:r>
    </w:p>
    <w:p w:rsidR="00AD6EA6" w:rsidRDefault="007003FA" w:rsidP="00C128D3">
      <w:pPr>
        <w:pStyle w:val="Akapitzlist"/>
        <w:numPr>
          <w:ilvl w:val="0"/>
          <w:numId w:val="10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440A27">
        <w:rPr>
          <w:rFonts w:ascii="Arial" w:hAnsi="Arial" w:cs="Arial"/>
          <w:sz w:val="20"/>
          <w:szCs w:val="20"/>
        </w:rPr>
        <w:lastRenderedPageBreak/>
        <w:t>Zestawienie modułów</w:t>
      </w:r>
      <w:r w:rsidR="00D11FC6" w:rsidRPr="00440A27">
        <w:rPr>
          <w:rFonts w:ascii="Arial" w:hAnsi="Arial" w:cs="Arial"/>
          <w:sz w:val="20"/>
          <w:szCs w:val="20"/>
        </w:rPr>
        <w:t xml:space="preserve"> Systemu IFS Applications</w:t>
      </w:r>
      <w:r w:rsidR="001761D1">
        <w:rPr>
          <w:rFonts w:ascii="Arial" w:hAnsi="Arial" w:cs="Arial"/>
          <w:sz w:val="20"/>
          <w:szCs w:val="20"/>
        </w:rPr>
        <w:t>, które podlegają aktualizacji oraz dodatkowe nowe moduły Systemu IFS Applications, których wdrożenia wymaga Zamawiający zawierają poniższe tabele.</w:t>
      </w:r>
    </w:p>
    <w:p w:rsidR="007003FA" w:rsidRPr="00D11FC6" w:rsidRDefault="001761D1" w:rsidP="00C128D3">
      <w:pPr>
        <w:spacing w:beforeLines="60" w:afterLines="6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Tabela 1 - Moduły podlegające aktualizacji</w:t>
      </w:r>
    </w:p>
    <w:tbl>
      <w:tblPr>
        <w:tblStyle w:val="Tabela-Siatka"/>
        <w:tblW w:w="9297" w:type="dxa"/>
        <w:tblLook w:val="04A0"/>
      </w:tblPr>
      <w:tblGrid>
        <w:gridCol w:w="675"/>
        <w:gridCol w:w="8622"/>
      </w:tblGrid>
      <w:tr w:rsidR="001C33F6" w:rsidRPr="00D11FC6" w:rsidTr="00AD35A9">
        <w:trPr>
          <w:trHeight w:val="370"/>
        </w:trPr>
        <w:tc>
          <w:tcPr>
            <w:tcW w:w="675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22" w:type="dxa"/>
          </w:tcPr>
          <w:p w:rsidR="00435E6F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Nazwa modułu</w:t>
            </w:r>
          </w:p>
        </w:tc>
      </w:tr>
      <w:tr w:rsidR="007003FA" w:rsidRPr="001D3184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Pr="00436725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IFS/ Foundation1 – Layered Application Architecture and Technology (</w:t>
            </w:r>
            <w:proofErr w:type="spellStart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zawiera</w:t>
            </w:r>
            <w:proofErr w:type="spellEnd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Interfejs</w:t>
            </w:r>
            <w:proofErr w:type="spellEnd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Web, </w:t>
            </w:r>
            <w:proofErr w:type="spellStart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Interfejs</w:t>
            </w:r>
            <w:proofErr w:type="spellEnd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Enterprise Explorer, Connect, Data Migration, Report Designer, Solution Manager, Online Documentation, </w:t>
            </w:r>
            <w:proofErr w:type="spellStart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Materiały</w:t>
            </w:r>
            <w:proofErr w:type="spellEnd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Szkoleniowe</w:t>
            </w:r>
            <w:proofErr w:type="spellEnd"/>
            <w:r w:rsidRPr="00436725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)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IFS/Zarządzanie Dokumentacją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IFS/Księga Główna (zawiera Generator Raportów, Kalkulację Kosztów, Przepływy Finansowe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IFS/Konsolidacja Koncernu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IFS/Księga Należności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IFS/Księga Zobowiązań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FS/Środki Trwałe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IFS/Zakupy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IFS/Zamówienia Klientów (zawiera Fakturowanie)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IFS/Magazyn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IFS/Zarządzanie Projektem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IFS/Raportowanie Projektu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435E6F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IFS/Wyposażenie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435E6F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IFS/Profilaktyka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435E6F" w:rsidRDefault="001761D1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IFS/Zlecenia Robocze/ Serwisowe 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Style w:val="WyrnienieZnak"/>
                <w:rFonts w:ascii="Arial" w:eastAsiaTheme="minorHAnsi" w:hAnsi="Arial" w:cs="Arial"/>
                <w:sz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IFS HR/Funkcjonalność Podstawowa (zawiera Planowanie i Administrowanie Kadrami)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 xml:space="preserve">HR Funkcjonalność Strategiczna (zawiera Zarządzanie Kompetencjami, Rekrutację, Szkolenia oraz funkcjonalność </w:t>
            </w:r>
            <w:proofErr w:type="spellStart"/>
            <w:r w:rsidRPr="0090169E">
              <w:rPr>
                <w:rFonts w:ascii="Arial" w:hAnsi="Arial" w:cs="Arial"/>
                <w:sz w:val="20"/>
                <w:szCs w:val="20"/>
              </w:rPr>
              <w:t>Self-Service</w:t>
            </w:r>
            <w:proofErr w:type="spellEnd"/>
            <w:r w:rsidRPr="009016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IFS/Delegacje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IFS/</w:t>
            </w:r>
            <w:proofErr w:type="spellStart"/>
            <w:r w:rsidRPr="0090169E">
              <w:rPr>
                <w:rFonts w:ascii="Arial" w:hAnsi="Arial" w:cs="Arial"/>
                <w:sz w:val="20"/>
                <w:szCs w:val="20"/>
              </w:rPr>
              <w:t>Zarzadzanie</w:t>
            </w:r>
            <w:proofErr w:type="spellEnd"/>
            <w:r w:rsidRPr="0090169E">
              <w:rPr>
                <w:rFonts w:ascii="Arial" w:hAnsi="Arial" w:cs="Arial"/>
                <w:sz w:val="20"/>
                <w:szCs w:val="20"/>
              </w:rPr>
              <w:t xml:space="preserve"> Czasem Pracy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Zobowiązania e-Faktury</w:t>
            </w:r>
          </w:p>
        </w:tc>
      </w:tr>
      <w:tr w:rsidR="007003FA" w:rsidRPr="00D11FC6" w:rsidTr="00482A78">
        <w:tc>
          <w:tcPr>
            <w:tcW w:w="675" w:type="dxa"/>
          </w:tcPr>
          <w:p w:rsidR="007003FA" w:rsidRPr="00482A78" w:rsidRDefault="007003FA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Komunikacja EDI i XML dla Wsparcia Łańcucha Dostaw</w:t>
            </w:r>
          </w:p>
        </w:tc>
      </w:tr>
      <w:tr w:rsidR="00AE31AE" w:rsidRPr="00D11FC6" w:rsidTr="00482A78">
        <w:tc>
          <w:tcPr>
            <w:tcW w:w="675" w:type="dxa"/>
          </w:tcPr>
          <w:p w:rsidR="00AE31AE" w:rsidRPr="00482A78" w:rsidRDefault="00AE31AE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IFS/Płace</w:t>
            </w:r>
          </w:p>
        </w:tc>
      </w:tr>
      <w:tr w:rsidR="00AE31AE" w:rsidRPr="00D11FC6" w:rsidTr="00482A78">
        <w:tc>
          <w:tcPr>
            <w:tcW w:w="675" w:type="dxa"/>
          </w:tcPr>
          <w:p w:rsidR="00AE31AE" w:rsidRPr="00482A78" w:rsidRDefault="00AE31AE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IFS/Wyposażenie Pracownika</w:t>
            </w:r>
          </w:p>
        </w:tc>
      </w:tr>
      <w:tr w:rsidR="00AE31AE" w:rsidRPr="00D11FC6" w:rsidTr="00482A78">
        <w:tc>
          <w:tcPr>
            <w:tcW w:w="675" w:type="dxa"/>
          </w:tcPr>
          <w:p w:rsidR="00AE31AE" w:rsidRPr="00482A78" w:rsidRDefault="00AE31AE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Import z Rejestru Czasu Pracy</w:t>
            </w:r>
          </w:p>
        </w:tc>
      </w:tr>
      <w:tr w:rsidR="00AE31AE" w:rsidRPr="00D11FC6" w:rsidTr="00482A78">
        <w:tc>
          <w:tcPr>
            <w:tcW w:w="675" w:type="dxa"/>
          </w:tcPr>
          <w:p w:rsidR="00AE31AE" w:rsidRPr="00482A78" w:rsidRDefault="00AE31AE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Import Transakcji Czasu Pracy z IFS Projekt</w:t>
            </w:r>
          </w:p>
        </w:tc>
      </w:tr>
      <w:tr w:rsidR="00AE31AE" w:rsidRPr="00D11FC6" w:rsidTr="00482A78">
        <w:tc>
          <w:tcPr>
            <w:tcW w:w="675" w:type="dxa"/>
          </w:tcPr>
          <w:p w:rsidR="00AE31AE" w:rsidRPr="00482A78" w:rsidRDefault="00AE31AE" w:rsidP="00C128D3">
            <w:pPr>
              <w:pStyle w:val="Akapitzlist"/>
              <w:numPr>
                <w:ilvl w:val="0"/>
                <w:numId w:val="12"/>
              </w:numPr>
              <w:spacing w:beforeLines="60" w:afterLines="60"/>
              <w:ind w:hanging="57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2" w:type="dxa"/>
          </w:tcPr>
          <w:p w:rsidR="00AD6EA6" w:rsidRPr="00436725" w:rsidRDefault="0090169E" w:rsidP="00C128D3">
            <w:pPr>
              <w:spacing w:beforeLines="60" w:afterLines="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725">
              <w:rPr>
                <w:rFonts w:ascii="Arial" w:hAnsi="Arial" w:cs="Arial"/>
                <w:sz w:val="20"/>
                <w:szCs w:val="20"/>
                <w:lang w:val="en-US"/>
              </w:rPr>
              <w:t xml:space="preserve">IFS/Foundation1 - Layered Application Architecture and Technology </w:t>
            </w:r>
          </w:p>
          <w:p w:rsidR="00AD6EA6" w:rsidRDefault="00AE31AE" w:rsidP="00C128D3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754D5D">
              <w:rPr>
                <w:rFonts w:ascii="Arial" w:hAnsi="Arial" w:cs="Arial"/>
                <w:sz w:val="20"/>
                <w:szCs w:val="20"/>
              </w:rPr>
              <w:t>W tym zawarte są: Reguły Księgowe IFS/</w:t>
            </w:r>
            <w:proofErr w:type="spellStart"/>
            <w:r w:rsidRPr="00754D5D">
              <w:rPr>
                <w:rFonts w:ascii="Arial" w:hAnsi="Arial" w:cs="Arial"/>
                <w:sz w:val="20"/>
                <w:szCs w:val="20"/>
              </w:rPr>
              <w:t>Connect</w:t>
            </w:r>
            <w:proofErr w:type="spellEnd"/>
            <w:r w:rsidRPr="00754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D5D">
              <w:rPr>
                <w:rFonts w:ascii="Arial" w:hAnsi="Arial" w:cs="Arial"/>
                <w:sz w:val="20"/>
                <w:szCs w:val="20"/>
              </w:rPr>
              <w:t>Base</w:t>
            </w:r>
            <w:proofErr w:type="spellEnd"/>
            <w:r w:rsidRPr="00754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D5D">
              <w:rPr>
                <w:rFonts w:ascii="Arial" w:hAnsi="Arial" w:cs="Arial"/>
                <w:sz w:val="20"/>
                <w:szCs w:val="20"/>
              </w:rPr>
              <w:t>Package</w:t>
            </w:r>
            <w:proofErr w:type="spellEnd"/>
          </w:p>
          <w:p w:rsidR="00AD6EA6" w:rsidRPr="00436725" w:rsidRDefault="0090169E" w:rsidP="00C128D3">
            <w:pPr>
              <w:spacing w:beforeLines="60" w:afterLines="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725">
              <w:rPr>
                <w:rFonts w:ascii="Arial" w:hAnsi="Arial" w:cs="Arial"/>
                <w:sz w:val="20"/>
                <w:szCs w:val="20"/>
                <w:lang w:val="en-US"/>
              </w:rPr>
              <w:t xml:space="preserve">IFS/Connect Application Integration Package </w:t>
            </w:r>
          </w:p>
          <w:p w:rsidR="00AD6EA6" w:rsidRPr="00436725" w:rsidRDefault="0090169E" w:rsidP="00C128D3">
            <w:pPr>
              <w:spacing w:beforeLines="60" w:afterLines="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6725">
              <w:rPr>
                <w:rFonts w:ascii="Arial" w:hAnsi="Arial" w:cs="Arial"/>
                <w:sz w:val="20"/>
                <w:szCs w:val="20"/>
                <w:lang w:val="en-US"/>
              </w:rPr>
              <w:t xml:space="preserve">IFS/Connect Notification Package </w:t>
            </w:r>
          </w:p>
          <w:p w:rsidR="00AD6EA6" w:rsidRDefault="0090169E" w:rsidP="00C128D3">
            <w:pPr>
              <w:spacing w:beforeLines="60" w:afterLines="60" w:line="259" w:lineRule="auto"/>
              <w:rPr>
                <w:rStyle w:val="WyrnienieZnak"/>
                <w:rFonts w:ascii="Arial" w:eastAsiaTheme="minorHAnsi" w:hAnsi="Arial" w:cs="Arial"/>
                <w:sz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 xml:space="preserve">IFS/Data </w:t>
            </w:r>
            <w:proofErr w:type="spellStart"/>
            <w:r w:rsidRPr="0090169E">
              <w:rPr>
                <w:rFonts w:ascii="Arial" w:hAnsi="Arial" w:cs="Arial"/>
                <w:sz w:val="20"/>
                <w:szCs w:val="20"/>
              </w:rPr>
              <w:t>Migration</w:t>
            </w:r>
            <w:proofErr w:type="spellEnd"/>
          </w:p>
        </w:tc>
      </w:tr>
    </w:tbl>
    <w:p w:rsidR="007003FA" w:rsidRPr="00D11FC6" w:rsidRDefault="007003FA" w:rsidP="00C128D3">
      <w:p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p w:rsidR="00AD6EA6" w:rsidRDefault="00A37AC1" w:rsidP="00C128D3">
      <w:pPr>
        <w:spacing w:beforeLines="60" w:afterLines="6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754D5D">
        <w:rPr>
          <w:rFonts w:ascii="Arial" w:hAnsi="Arial" w:cs="Arial"/>
          <w:i/>
          <w:sz w:val="20"/>
          <w:szCs w:val="20"/>
        </w:rPr>
        <w:t xml:space="preserve">Tabela 2 - </w:t>
      </w:r>
      <w:r w:rsidR="001C33F6" w:rsidRPr="00754D5D">
        <w:rPr>
          <w:rFonts w:ascii="Arial" w:hAnsi="Arial" w:cs="Arial"/>
          <w:i/>
          <w:sz w:val="20"/>
          <w:szCs w:val="20"/>
        </w:rPr>
        <w:t>Moduły podlegające wdrożeniu</w:t>
      </w:r>
    </w:p>
    <w:tbl>
      <w:tblPr>
        <w:tblStyle w:val="Tabela-Siatka"/>
        <w:tblW w:w="0" w:type="auto"/>
        <w:tblLook w:val="04A0"/>
      </w:tblPr>
      <w:tblGrid>
        <w:gridCol w:w="1048"/>
        <w:gridCol w:w="7991"/>
      </w:tblGrid>
      <w:tr w:rsidR="00D11FC6" w:rsidRPr="00D11FC6" w:rsidTr="00436725">
        <w:tc>
          <w:tcPr>
            <w:tcW w:w="1048" w:type="dxa"/>
          </w:tcPr>
          <w:p w:rsidR="00AD6EA6" w:rsidRDefault="00D11FC6" w:rsidP="00C128D3">
            <w:pPr>
              <w:spacing w:beforeLines="6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A2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991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D11FC6" w:rsidRPr="00D11FC6" w:rsidTr="00436725">
        <w:tc>
          <w:tcPr>
            <w:tcW w:w="1048" w:type="dxa"/>
          </w:tcPr>
          <w:p w:rsidR="00D11FC6" w:rsidRPr="00D11FC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1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Moduł pozwalający na dodawanie nowych pól bazodanowych (edytowalnych), pól referencyjnych (odnoszących się do powiązanych miejsc w systemie), pól będących wynikiem zapytania bądź kalkulacji, jak również dodatkowych tabel oraz powiązań miedzy nimi. Funkcjonalność musi umożliwiać również zarządzanie pozostałymi obiektami własnymi: menu, zdarzeniami (które muszą uruchamiać automatyczne akcje, informować użytkowników o zaistniałym zdarzeniu lub uruchamiać integrację) i raportami.</w:t>
            </w:r>
          </w:p>
        </w:tc>
      </w:tr>
      <w:tr w:rsidR="00D11FC6" w:rsidRPr="00D11FC6" w:rsidTr="00436725">
        <w:tc>
          <w:tcPr>
            <w:tcW w:w="1048" w:type="dxa"/>
          </w:tcPr>
          <w:p w:rsidR="00D11FC6" w:rsidRPr="00D11FC6" w:rsidRDefault="001D3184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91" w:type="dxa"/>
          </w:tcPr>
          <w:p w:rsidR="00AD6EA6" w:rsidRDefault="0090169E" w:rsidP="00C128D3">
            <w:pPr>
              <w:spacing w:beforeLines="60" w:afterLines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>estaw ekranów o charakterze kokpitów /</w:t>
            </w:r>
            <w:r w:rsidR="00607B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paneli zarządczych, agregujących dane z wielu źródeł w wizualnej formie, wspierający natychmiastowe działania i drążenie do ekranów szczegółowych IFS. System musi posiadać zestaw </w:t>
            </w:r>
            <w:r w:rsidR="00D11FC6" w:rsidRPr="00440A27">
              <w:rPr>
                <w:rFonts w:ascii="Arial" w:hAnsi="Arial" w:cs="Arial"/>
                <w:bCs/>
                <w:iCs/>
                <w:sz w:val="20"/>
                <w:szCs w:val="20"/>
              </w:rPr>
              <w:t>dla różnyc</w:t>
            </w: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h ról (zarządzanie sprzedażą, produkcją, planowaniem produkcji, zaopatrzeniem, rozrachunkami, zamknięciem miesiąca). System musi umożliwiać samodzielne budowanie nowych oraz zmiany istniejących zestawów</w:t>
            </w:r>
            <w:r w:rsidR="00607B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kokpitów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D11FC6" w:rsidRPr="00D11FC6" w:rsidTr="00436725">
        <w:tc>
          <w:tcPr>
            <w:tcW w:w="1048" w:type="dxa"/>
          </w:tcPr>
          <w:p w:rsidR="00AD6EA6" w:rsidRDefault="001D3184" w:rsidP="00C128D3">
            <w:pPr>
              <w:spacing w:beforeLines="60" w:afterLines="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91" w:type="dxa"/>
          </w:tcPr>
          <w:p w:rsidR="00AD6EA6" w:rsidRDefault="0090169E" w:rsidP="00C128D3">
            <w:pPr>
              <w:spacing w:beforeLines="60" w:afterLines="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Pakietu BI</w:t>
            </w:r>
            <w:r w:rsidR="00607B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będący częścią systemu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musi zawierać zestaw predefiniowanych wielowymiarowych kostek analitycznych dla IFS Applications oraz narzędzia administracyjne umożliwiające zarządzanie dostępnymi kostkami, jak również budowę nowych źródeł informacyjnych. Kostki analityczne muszą funkcjonować w wersji </w:t>
            </w:r>
            <w:proofErr w:type="spellStart"/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>online</w:t>
            </w:r>
            <w:proofErr w:type="spellEnd"/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jak też na replikowanych danych, agregowanych okresowo wg schematu zadanego przez administratora. </w:t>
            </w:r>
            <w:r w:rsidR="00607B79">
              <w:rPr>
                <w:rFonts w:ascii="Arial" w:hAnsi="Arial" w:cs="Arial"/>
                <w:bCs/>
                <w:iCs/>
                <w:sz w:val="20"/>
                <w:szCs w:val="20"/>
              </w:rPr>
              <w:t>Dodatkowo d</w:t>
            </w:r>
            <w:r w:rsidR="00607B79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 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>przeglądania i analiz danych dodatkowo wymagane jest narzędzie</w:t>
            </w: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, które umożliwia tworzenie wielowymiarowych analiz i raportów oraz ich publikację</w:t>
            </w:r>
            <w:r w:rsidR="00607B7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dla użytkowników</w:t>
            </w:r>
            <w:r w:rsidR="00D11FC6" w:rsidRPr="00754D5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  <w:tr w:rsidR="00D11FC6" w:rsidRPr="00D11FC6" w:rsidTr="00436725">
        <w:trPr>
          <w:trHeight w:val="1450"/>
        </w:trPr>
        <w:tc>
          <w:tcPr>
            <w:tcW w:w="1048" w:type="dxa"/>
          </w:tcPr>
          <w:p w:rsidR="00AD6EA6" w:rsidRDefault="001D3184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91" w:type="dxa"/>
          </w:tcPr>
          <w:p w:rsidR="00AD6EA6" w:rsidRDefault="0090169E" w:rsidP="00C128D3">
            <w:pPr>
              <w:spacing w:beforeLines="60" w:afterLines="60" w:line="259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169E">
              <w:rPr>
                <w:rFonts w:ascii="Arial" w:hAnsi="Arial" w:cs="Arial"/>
                <w:bCs/>
                <w:iCs/>
                <w:sz w:val="20"/>
                <w:szCs w:val="20"/>
              </w:rPr>
              <w:t>Aplikacja umożliwiająca dostęp do zleceń roboczych i serwisowych z poziomu urządzenia (np. tabletu) z systemem Android. Aplikacja musi zawierać rozbudowaną funkcjonalność zdalnego przeglądania jak i raportowania wykonania prac.</w:t>
            </w:r>
          </w:p>
        </w:tc>
      </w:tr>
    </w:tbl>
    <w:p w:rsidR="00AD6EA6" w:rsidRDefault="00AD6EA6" w:rsidP="00C128D3">
      <w:p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p w:rsidR="00AD6EA6" w:rsidRDefault="00AD6EA6" w:rsidP="00C128D3">
      <w:pPr>
        <w:pStyle w:val="Akapitzlist"/>
        <w:spacing w:beforeLines="60" w:afterLines="6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D6EA6" w:rsidRDefault="0090169E" w:rsidP="00C128D3">
      <w:pPr>
        <w:pStyle w:val="Akapitzlist"/>
        <w:numPr>
          <w:ilvl w:val="0"/>
          <w:numId w:val="8"/>
        </w:numPr>
        <w:spacing w:beforeLines="60" w:afterLines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69E">
        <w:rPr>
          <w:rFonts w:ascii="Arial" w:hAnsi="Arial" w:cs="Arial"/>
          <w:b/>
          <w:sz w:val="20"/>
          <w:szCs w:val="20"/>
        </w:rPr>
        <w:lastRenderedPageBreak/>
        <w:t>TERMIN WYKONANIA ZAMÓWIENIA</w:t>
      </w:r>
    </w:p>
    <w:p w:rsidR="00AD6EA6" w:rsidRDefault="00AD6EA6" w:rsidP="00C128D3">
      <w:pPr>
        <w:pStyle w:val="Akapitzlist"/>
        <w:spacing w:beforeLines="60" w:afterLines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D6EA6" w:rsidRDefault="0090169E" w:rsidP="00C128D3">
      <w:pPr>
        <w:pStyle w:val="Akapitzlist"/>
        <w:numPr>
          <w:ilvl w:val="0"/>
          <w:numId w:val="11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90169E">
        <w:rPr>
          <w:rFonts w:ascii="Arial" w:hAnsi="Arial" w:cs="Arial"/>
          <w:sz w:val="20"/>
          <w:szCs w:val="20"/>
        </w:rPr>
        <w:t>Aktualizacja modułów wymienionych w tabeli 1 do dnia 31.12.2017 r.,</w:t>
      </w:r>
    </w:p>
    <w:p w:rsidR="00AD6EA6" w:rsidRDefault="0090169E" w:rsidP="00C128D3">
      <w:pPr>
        <w:pStyle w:val="Akapitzlist"/>
        <w:numPr>
          <w:ilvl w:val="0"/>
          <w:numId w:val="11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90169E">
        <w:rPr>
          <w:rFonts w:ascii="Arial" w:hAnsi="Arial" w:cs="Arial"/>
          <w:sz w:val="20"/>
          <w:szCs w:val="20"/>
        </w:rPr>
        <w:t>Wdrożenie modułów wymienionych w tabeli 2 do dnia 31.12.2017 r.,</w:t>
      </w:r>
    </w:p>
    <w:p w:rsidR="00AD6EA6" w:rsidRDefault="0090169E" w:rsidP="00C128D3">
      <w:pPr>
        <w:pStyle w:val="Akapitzlist"/>
        <w:numPr>
          <w:ilvl w:val="0"/>
          <w:numId w:val="11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90169E">
        <w:rPr>
          <w:rFonts w:ascii="Arial" w:hAnsi="Arial" w:cs="Arial"/>
          <w:sz w:val="20"/>
          <w:szCs w:val="20"/>
        </w:rPr>
        <w:t>Poszerzenie zakresu działania systemu o nowe funkcjonalności w obszarach: praca pogotowia, elektroniczny obieg dokumentów, narzędziownia, Stacje Obsług i Zajezdnie, planowanie remontów oraz współpraca z systemem Głównej Dyspozytorni Ruchu do dnia 30.06.2018 r.</w:t>
      </w:r>
    </w:p>
    <w:p w:rsidR="00AD6EA6" w:rsidRDefault="0090169E" w:rsidP="00C128D3">
      <w:pPr>
        <w:pStyle w:val="Akapitzlist"/>
        <w:numPr>
          <w:ilvl w:val="0"/>
          <w:numId w:val="11"/>
        </w:numPr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  <w:r w:rsidRPr="0090169E">
        <w:rPr>
          <w:rFonts w:ascii="Arial" w:hAnsi="Arial" w:cs="Arial"/>
          <w:sz w:val="20"/>
          <w:szCs w:val="20"/>
        </w:rPr>
        <w:t xml:space="preserve">Nadzór i opieka serwisowa nad rozszerzonym zaktualizowanym systemem </w:t>
      </w:r>
      <w:r w:rsidR="00607B79">
        <w:rPr>
          <w:rFonts w:ascii="Arial" w:hAnsi="Arial" w:cs="Arial"/>
          <w:sz w:val="20"/>
          <w:szCs w:val="20"/>
        </w:rPr>
        <w:t>od 1.1.2018</w:t>
      </w:r>
      <w:r w:rsidR="00754D5D">
        <w:rPr>
          <w:rFonts w:ascii="Arial" w:hAnsi="Arial" w:cs="Arial"/>
          <w:sz w:val="20"/>
          <w:szCs w:val="20"/>
        </w:rPr>
        <w:t xml:space="preserve"> </w:t>
      </w:r>
      <w:r w:rsidR="00607B79">
        <w:rPr>
          <w:rFonts w:ascii="Arial" w:hAnsi="Arial" w:cs="Arial"/>
          <w:sz w:val="20"/>
          <w:szCs w:val="20"/>
        </w:rPr>
        <w:t xml:space="preserve">r. </w:t>
      </w:r>
      <w:r w:rsidR="00BD6486" w:rsidRPr="00754D5D">
        <w:rPr>
          <w:rFonts w:ascii="Arial" w:hAnsi="Arial" w:cs="Arial"/>
          <w:sz w:val="20"/>
          <w:szCs w:val="20"/>
        </w:rPr>
        <w:t>do dnia 31.12.2019 </w:t>
      </w:r>
      <w:r w:rsidR="0076059A" w:rsidRPr="00754D5D">
        <w:rPr>
          <w:rFonts w:ascii="Arial" w:hAnsi="Arial" w:cs="Arial"/>
          <w:sz w:val="20"/>
          <w:szCs w:val="20"/>
        </w:rPr>
        <w:t>r.</w:t>
      </w:r>
    </w:p>
    <w:p w:rsidR="00AD6EA6" w:rsidRDefault="00AD6EA6" w:rsidP="005C3DF2">
      <w:pPr>
        <w:pStyle w:val="Akapitzlist"/>
        <w:spacing w:beforeLines="60" w:afterLines="60" w:line="240" w:lineRule="auto"/>
        <w:jc w:val="both"/>
        <w:rPr>
          <w:rFonts w:ascii="Arial" w:hAnsi="Arial" w:cs="Arial"/>
          <w:sz w:val="20"/>
          <w:szCs w:val="20"/>
        </w:rPr>
      </w:pPr>
    </w:p>
    <w:sectPr w:rsidR="00AD6EA6" w:rsidSect="00C55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66" w:rsidRDefault="00753066" w:rsidP="00A37AC1">
      <w:pPr>
        <w:spacing w:after="0" w:line="240" w:lineRule="auto"/>
      </w:pPr>
      <w:r>
        <w:separator/>
      </w:r>
    </w:p>
  </w:endnote>
  <w:endnote w:type="continuationSeparator" w:id="0">
    <w:p w:rsidR="00753066" w:rsidRDefault="00753066" w:rsidP="00A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altName w:val="Aria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97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37AC1" w:rsidRDefault="005C3DF2">
            <w:pPr>
              <w:pStyle w:val="Stopk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37AC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28D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A37AC1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37AC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28D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7AC1" w:rsidRDefault="00A37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66" w:rsidRDefault="00753066" w:rsidP="00A37AC1">
      <w:pPr>
        <w:spacing w:after="0" w:line="240" w:lineRule="auto"/>
      </w:pPr>
      <w:r>
        <w:separator/>
      </w:r>
    </w:p>
  </w:footnote>
  <w:footnote w:type="continuationSeparator" w:id="0">
    <w:p w:rsidR="00753066" w:rsidRDefault="00753066" w:rsidP="00A3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7AF"/>
    <w:multiLevelType w:val="hybridMultilevel"/>
    <w:tmpl w:val="59AEB994"/>
    <w:lvl w:ilvl="0" w:tplc="FF2A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D95"/>
    <w:multiLevelType w:val="hybridMultilevel"/>
    <w:tmpl w:val="B4D6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3E0C"/>
    <w:multiLevelType w:val="hybridMultilevel"/>
    <w:tmpl w:val="0EF6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6187"/>
    <w:multiLevelType w:val="hybridMultilevel"/>
    <w:tmpl w:val="B4D6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907DC"/>
    <w:multiLevelType w:val="hybridMultilevel"/>
    <w:tmpl w:val="53508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0269"/>
    <w:multiLevelType w:val="hybridMultilevel"/>
    <w:tmpl w:val="AA82E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2E56"/>
    <w:multiLevelType w:val="hybridMultilevel"/>
    <w:tmpl w:val="B4D6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007E"/>
    <w:multiLevelType w:val="hybridMultilevel"/>
    <w:tmpl w:val="0DA2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587"/>
    <w:multiLevelType w:val="hybridMultilevel"/>
    <w:tmpl w:val="54BC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51003"/>
    <w:multiLevelType w:val="hybridMultilevel"/>
    <w:tmpl w:val="7BBEB350"/>
    <w:lvl w:ilvl="0" w:tplc="D15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7CD5"/>
    <w:multiLevelType w:val="hybridMultilevel"/>
    <w:tmpl w:val="B6601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1088"/>
    <w:multiLevelType w:val="hybridMultilevel"/>
    <w:tmpl w:val="CF7C67F0"/>
    <w:lvl w:ilvl="0" w:tplc="0422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A64D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098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E0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C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0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ED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usz@mpk.krakow.pl">
    <w15:presenceInfo w15:providerId="Windows Live" w15:userId="5ac22f02c04178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9B"/>
    <w:rsid w:val="00010785"/>
    <w:rsid w:val="00021B68"/>
    <w:rsid w:val="000263F5"/>
    <w:rsid w:val="000A6767"/>
    <w:rsid w:val="001761D1"/>
    <w:rsid w:val="0018260C"/>
    <w:rsid w:val="001C33F6"/>
    <w:rsid w:val="001D3184"/>
    <w:rsid w:val="001E4032"/>
    <w:rsid w:val="00284140"/>
    <w:rsid w:val="002B28F4"/>
    <w:rsid w:val="00310BCD"/>
    <w:rsid w:val="0032701C"/>
    <w:rsid w:val="00435E6F"/>
    <w:rsid w:val="00436725"/>
    <w:rsid w:val="00440A27"/>
    <w:rsid w:val="00482A78"/>
    <w:rsid w:val="00527D0C"/>
    <w:rsid w:val="005C3DF2"/>
    <w:rsid w:val="00600327"/>
    <w:rsid w:val="006040B7"/>
    <w:rsid w:val="00607B79"/>
    <w:rsid w:val="00643BF4"/>
    <w:rsid w:val="00645B42"/>
    <w:rsid w:val="00693FD0"/>
    <w:rsid w:val="006C5772"/>
    <w:rsid w:val="006E60D3"/>
    <w:rsid w:val="007003FA"/>
    <w:rsid w:val="0072039F"/>
    <w:rsid w:val="00753066"/>
    <w:rsid w:val="00754D5D"/>
    <w:rsid w:val="0076059A"/>
    <w:rsid w:val="007B4DB3"/>
    <w:rsid w:val="00837182"/>
    <w:rsid w:val="0090169E"/>
    <w:rsid w:val="009776E9"/>
    <w:rsid w:val="009C5607"/>
    <w:rsid w:val="00A37AC1"/>
    <w:rsid w:val="00AD35A9"/>
    <w:rsid w:val="00AD6EA6"/>
    <w:rsid w:val="00AE31AE"/>
    <w:rsid w:val="00B44338"/>
    <w:rsid w:val="00B80382"/>
    <w:rsid w:val="00BD6486"/>
    <w:rsid w:val="00BF2063"/>
    <w:rsid w:val="00C128D3"/>
    <w:rsid w:val="00C552C8"/>
    <w:rsid w:val="00C93B3D"/>
    <w:rsid w:val="00CD4340"/>
    <w:rsid w:val="00D11FC6"/>
    <w:rsid w:val="00D24452"/>
    <w:rsid w:val="00D7352E"/>
    <w:rsid w:val="00DC0CB4"/>
    <w:rsid w:val="00E16C88"/>
    <w:rsid w:val="00EB0273"/>
    <w:rsid w:val="00ED249B"/>
    <w:rsid w:val="00F737C9"/>
    <w:rsid w:val="00F8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yrnienie">
    <w:name w:val="Wyróżnienie"/>
    <w:basedOn w:val="Normalny"/>
    <w:link w:val="WyrnienieZnak"/>
    <w:autoRedefine/>
    <w:rsid w:val="007003FA"/>
    <w:pPr>
      <w:keepNext/>
      <w:tabs>
        <w:tab w:val="left" w:pos="0"/>
        <w:tab w:val="left" w:pos="1135"/>
        <w:tab w:val="center" w:pos="4320"/>
      </w:tabs>
      <w:spacing w:before="120" w:after="120" w:line="240" w:lineRule="auto"/>
      <w:jc w:val="center"/>
    </w:pPr>
    <w:rPr>
      <w:rFonts w:ascii="Franklin Gothic Demi Cond" w:eastAsia="Times New Roman" w:hAnsi="Franklin Gothic Demi Cond" w:cs="Times New Roman"/>
      <w:szCs w:val="20"/>
      <w:lang w:eastAsia="pl-PL"/>
    </w:rPr>
  </w:style>
  <w:style w:type="character" w:customStyle="1" w:styleId="WyrnienieZnak">
    <w:name w:val="Wyróżnienie Znak"/>
    <w:basedOn w:val="Domylnaczcionkaakapitu"/>
    <w:link w:val="Wyrnienie"/>
    <w:rsid w:val="007003FA"/>
    <w:rPr>
      <w:rFonts w:ascii="Franklin Gothic Demi Cond" w:eastAsia="Times New Roman" w:hAnsi="Franklin Gothic Demi Cond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7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3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3F5"/>
    <w:rPr>
      <w:b/>
      <w:bCs/>
      <w:sz w:val="20"/>
      <w:szCs w:val="20"/>
    </w:rPr>
  </w:style>
  <w:style w:type="paragraph" w:customStyle="1" w:styleId="Standardowy1">
    <w:name w:val="Standardowy1"/>
    <w:rsid w:val="00F813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AC1"/>
  </w:style>
  <w:style w:type="paragraph" w:styleId="Stopka">
    <w:name w:val="footer"/>
    <w:basedOn w:val="Normalny"/>
    <w:link w:val="StopkaZnak"/>
    <w:uiPriority w:val="99"/>
    <w:unhideWhenUsed/>
    <w:rsid w:val="00A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F6A6-9C1B-48FD-ABFB-90C1AF3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mariusz@mpk.krakow.pl</dc:creator>
  <cp:lastModifiedBy>mprorok</cp:lastModifiedBy>
  <cp:revision>9</cp:revision>
  <cp:lastPrinted>2017-04-13T12:57:00Z</cp:lastPrinted>
  <dcterms:created xsi:type="dcterms:W3CDTF">2017-04-13T06:09:00Z</dcterms:created>
  <dcterms:modified xsi:type="dcterms:W3CDTF">2017-04-13T13:07:00Z</dcterms:modified>
</cp:coreProperties>
</file>