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224F07">
          <w:rPr>
            <w:b/>
            <w:noProof/>
            <w:color w:val="808080" w:themeColor="background1" w:themeShade="80"/>
          </w:rPr>
          <w:t>2</w: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224F07">
          <w:rPr>
            <w:b/>
            <w:noProof/>
            <w:color w:val="808080" w:themeColor="background1" w:themeShade="80"/>
          </w:rPr>
          <w:t>3</w:t>
        </w:r>
        <w:r w:rsidR="00253B4A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E134BB">
      <w:rPr>
        <w:rFonts w:cs="Arial"/>
        <w:b/>
        <w:color w:val="808080" w:themeColor="background1" w:themeShade="80"/>
      </w:rPr>
      <w:t>5</w:t>
    </w:r>
    <w:r w:rsidR="00224F07">
      <w:rPr>
        <w:rFonts w:cs="Arial"/>
        <w:b/>
        <w:color w:val="808080" w:themeColor="background1" w:themeShade="80"/>
      </w:rPr>
      <w:t>6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24F07"/>
    <w:rsid w:val="002341EB"/>
    <w:rsid w:val="0024704B"/>
    <w:rsid w:val="00252B4C"/>
    <w:rsid w:val="00253B4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Martyna Czubek</cp:lastModifiedBy>
  <cp:revision>64</cp:revision>
  <cp:lastPrinted>2017-03-29T11:32:00Z</cp:lastPrinted>
  <dcterms:created xsi:type="dcterms:W3CDTF">2014-05-23T09:03:00Z</dcterms:created>
  <dcterms:modified xsi:type="dcterms:W3CDTF">2017-04-06T15:30:00Z</dcterms:modified>
</cp:coreProperties>
</file>